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129D" w:rsidRPr="00BE129D" w:rsidRDefault="003037D5">
      <w:pPr>
        <w:ind w:left="496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Додаток 2</w:t>
      </w:r>
      <w:r w:rsidR="00BE129D" w:rsidRPr="00BE129D">
        <w:rPr>
          <w:rFonts w:ascii="Times New Roman" w:eastAsia="Times New Roman" w:hAnsi="Times New Roman" w:cs="Times New Roman"/>
          <w:sz w:val="28"/>
          <w:szCs w:val="28"/>
          <w:lang w:val="uk-UA"/>
        </w:rPr>
        <w:t xml:space="preserve"> </w:t>
      </w:r>
      <w:r w:rsidRPr="00BE129D">
        <w:rPr>
          <w:rFonts w:ascii="Times New Roman" w:eastAsia="Times New Roman" w:hAnsi="Times New Roman" w:cs="Times New Roman"/>
          <w:sz w:val="28"/>
          <w:szCs w:val="28"/>
          <w:lang w:val="uk-UA"/>
        </w:rPr>
        <w:t xml:space="preserve">до рішення </w:t>
      </w:r>
    </w:p>
    <w:p w:rsidR="00B47B29" w:rsidRPr="00BE129D" w:rsidRDefault="003037D5">
      <w:pPr>
        <w:ind w:left="4960"/>
        <w:jc w:val="both"/>
        <w:rPr>
          <w:lang w:val="uk-UA"/>
        </w:rPr>
      </w:pPr>
      <w:r w:rsidRPr="00BE129D">
        <w:rPr>
          <w:rFonts w:ascii="Times New Roman" w:eastAsia="Times New Roman" w:hAnsi="Times New Roman" w:cs="Times New Roman"/>
          <w:sz w:val="28"/>
          <w:szCs w:val="28"/>
          <w:lang w:val="uk-UA"/>
        </w:rPr>
        <w:t>Одеської міської ради</w:t>
      </w:r>
    </w:p>
    <w:p w:rsidR="00B47B29" w:rsidRPr="00BE129D" w:rsidRDefault="003037D5">
      <w:pPr>
        <w:ind w:left="4960"/>
        <w:jc w:val="both"/>
        <w:rPr>
          <w:lang w:val="uk-UA"/>
        </w:rPr>
      </w:pPr>
      <w:r w:rsidRPr="00BE129D">
        <w:rPr>
          <w:rFonts w:ascii="Times New Roman" w:eastAsia="Times New Roman" w:hAnsi="Times New Roman" w:cs="Times New Roman"/>
          <w:sz w:val="28"/>
          <w:szCs w:val="28"/>
          <w:lang w:val="uk-UA"/>
        </w:rPr>
        <w:t xml:space="preserve">від </w:t>
      </w:r>
      <w:r w:rsidR="00BE129D" w:rsidRPr="00BE129D">
        <w:rPr>
          <w:rFonts w:ascii="Times New Roman" w:eastAsia="Times New Roman" w:hAnsi="Times New Roman" w:cs="Times New Roman"/>
          <w:sz w:val="28"/>
          <w:szCs w:val="28"/>
          <w:lang w:val="uk-UA"/>
        </w:rPr>
        <w:t xml:space="preserve">26.07.2017 р. </w:t>
      </w:r>
      <w:r w:rsidRPr="00BE129D">
        <w:rPr>
          <w:rFonts w:ascii="Times New Roman" w:eastAsia="Times New Roman" w:hAnsi="Times New Roman" w:cs="Times New Roman"/>
          <w:sz w:val="28"/>
          <w:szCs w:val="28"/>
          <w:lang w:val="uk-UA"/>
        </w:rPr>
        <w:t>№</w:t>
      </w:r>
      <w:r w:rsidR="00BE129D" w:rsidRPr="00BE129D">
        <w:rPr>
          <w:rFonts w:ascii="Times New Roman" w:eastAsia="Times New Roman" w:hAnsi="Times New Roman" w:cs="Times New Roman"/>
          <w:sz w:val="28"/>
          <w:szCs w:val="28"/>
          <w:lang w:val="uk-UA"/>
        </w:rPr>
        <w:t xml:space="preserve"> 2257-VII</w:t>
      </w:r>
    </w:p>
    <w:p w:rsidR="00B47B29" w:rsidRPr="00BE129D" w:rsidRDefault="003037D5">
      <w:pPr>
        <w:ind w:left="4240" w:firstLine="700"/>
        <w:jc w:val="both"/>
        <w:rPr>
          <w:lang w:val="uk-UA"/>
        </w:rPr>
      </w:pPr>
      <w:r w:rsidRPr="00BE129D">
        <w:rPr>
          <w:rFonts w:ascii="Times New Roman" w:eastAsia="Times New Roman" w:hAnsi="Times New Roman" w:cs="Times New Roman"/>
          <w:sz w:val="28"/>
          <w:szCs w:val="28"/>
          <w:lang w:val="uk-UA"/>
        </w:rPr>
        <w:t xml:space="preserve"> </w:t>
      </w:r>
    </w:p>
    <w:p w:rsidR="00B47B29" w:rsidRPr="00BE129D" w:rsidRDefault="003037D5">
      <w:pPr>
        <w:jc w:val="center"/>
        <w:rPr>
          <w:lang w:val="uk-UA"/>
        </w:rPr>
      </w:pPr>
      <w:r w:rsidRPr="00BE129D">
        <w:rPr>
          <w:rFonts w:ascii="Times New Roman" w:eastAsia="Times New Roman" w:hAnsi="Times New Roman" w:cs="Times New Roman"/>
          <w:b/>
          <w:sz w:val="28"/>
          <w:szCs w:val="28"/>
          <w:lang w:val="uk-UA"/>
        </w:rPr>
        <w:t xml:space="preserve"> </w:t>
      </w:r>
    </w:p>
    <w:p w:rsidR="00B47B29" w:rsidRPr="00BE129D" w:rsidRDefault="003037D5">
      <w:pPr>
        <w:jc w:val="center"/>
        <w:rPr>
          <w:lang w:val="uk-UA"/>
        </w:rPr>
      </w:pPr>
      <w:r w:rsidRPr="00BE129D">
        <w:rPr>
          <w:rFonts w:ascii="Times New Roman" w:eastAsia="Times New Roman" w:hAnsi="Times New Roman" w:cs="Times New Roman"/>
          <w:b/>
          <w:sz w:val="28"/>
          <w:szCs w:val="28"/>
          <w:lang w:val="uk-UA"/>
        </w:rPr>
        <w:t>ПЕРЕЛІК</w:t>
      </w:r>
    </w:p>
    <w:p w:rsidR="00B47B29" w:rsidRPr="00BE129D" w:rsidRDefault="003037D5">
      <w:pPr>
        <w:jc w:val="center"/>
        <w:rPr>
          <w:lang w:val="uk-UA"/>
        </w:rPr>
      </w:pPr>
      <w:r w:rsidRPr="00BE129D">
        <w:rPr>
          <w:rFonts w:ascii="Times New Roman" w:eastAsia="Times New Roman" w:hAnsi="Times New Roman" w:cs="Times New Roman"/>
          <w:b/>
          <w:sz w:val="28"/>
          <w:szCs w:val="28"/>
          <w:lang w:val="uk-UA"/>
        </w:rPr>
        <w:t>адміністративних послуг, які надаються виконавчими органами Одеської міської ради через Центр надання адміністративних послуг Одеської міської ради</w:t>
      </w:r>
    </w:p>
    <w:tbl>
      <w:tblPr>
        <w:tblStyle w:val="a5"/>
        <w:tblW w:w="9510" w:type="dxa"/>
        <w:tblInd w:w="-115" w:type="dxa"/>
        <w:tblBorders>
          <w:top w:val="nil"/>
          <w:left w:val="nil"/>
          <w:bottom w:val="nil"/>
          <w:right w:val="nil"/>
          <w:insideH w:val="nil"/>
          <w:insideV w:val="nil"/>
        </w:tblBorders>
        <w:tblLayout w:type="fixed"/>
        <w:tblLook w:val="0600"/>
      </w:tblPr>
      <w:tblGrid>
        <w:gridCol w:w="615"/>
        <w:gridCol w:w="3600"/>
        <w:gridCol w:w="5295"/>
      </w:tblGrid>
      <w:tr w:rsidR="00B47B29" w:rsidRPr="00BE129D">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center"/>
              <w:rPr>
                <w:lang w:val="uk-UA"/>
              </w:rPr>
            </w:pPr>
            <w:r w:rsidRPr="00BE129D">
              <w:rPr>
                <w:rFonts w:ascii="Times New Roman" w:eastAsia="Times New Roman" w:hAnsi="Times New Roman" w:cs="Times New Roman"/>
                <w:b/>
                <w:i/>
                <w:sz w:val="28"/>
                <w:szCs w:val="28"/>
                <w:lang w:val="uk-UA"/>
              </w:rPr>
              <w:t>№</w:t>
            </w:r>
          </w:p>
          <w:p w:rsidR="00B47B29" w:rsidRPr="00BE129D" w:rsidRDefault="003037D5">
            <w:pPr>
              <w:spacing w:line="240" w:lineRule="auto"/>
              <w:contextualSpacing w:val="0"/>
              <w:jc w:val="center"/>
              <w:rPr>
                <w:lang w:val="uk-UA"/>
              </w:rPr>
            </w:pPr>
            <w:r w:rsidRPr="00BE129D">
              <w:rPr>
                <w:rFonts w:ascii="Times New Roman" w:eastAsia="Times New Roman" w:hAnsi="Times New Roman" w:cs="Times New Roman"/>
                <w:b/>
                <w:i/>
                <w:sz w:val="28"/>
                <w:szCs w:val="28"/>
                <w:lang w:val="uk-UA"/>
              </w:rPr>
              <w:t>з/п</w:t>
            </w:r>
          </w:p>
        </w:tc>
        <w:tc>
          <w:tcPr>
            <w:tcW w:w="360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center"/>
              <w:rPr>
                <w:lang w:val="uk-UA"/>
              </w:rPr>
            </w:pPr>
            <w:r w:rsidRPr="00BE129D">
              <w:rPr>
                <w:rFonts w:ascii="Times New Roman" w:eastAsia="Times New Roman" w:hAnsi="Times New Roman" w:cs="Times New Roman"/>
                <w:b/>
                <w:i/>
                <w:sz w:val="28"/>
                <w:szCs w:val="28"/>
                <w:lang w:val="uk-UA"/>
              </w:rPr>
              <w:t>Назва органу, що надає адміністративні послуги</w:t>
            </w:r>
          </w:p>
        </w:tc>
        <w:tc>
          <w:tcPr>
            <w:tcW w:w="52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center"/>
              <w:rPr>
                <w:lang w:val="uk-UA"/>
              </w:rPr>
            </w:pPr>
            <w:r w:rsidRPr="00BE129D">
              <w:rPr>
                <w:rFonts w:ascii="Times New Roman" w:eastAsia="Times New Roman" w:hAnsi="Times New Roman" w:cs="Times New Roman"/>
                <w:b/>
                <w:i/>
                <w:sz w:val="28"/>
                <w:szCs w:val="28"/>
                <w:lang w:val="uk-UA"/>
              </w:rPr>
              <w:t>Назва</w:t>
            </w:r>
          </w:p>
          <w:p w:rsidR="00B47B29" w:rsidRPr="00BE129D" w:rsidRDefault="003037D5">
            <w:pPr>
              <w:spacing w:line="240" w:lineRule="auto"/>
              <w:contextualSpacing w:val="0"/>
              <w:jc w:val="center"/>
              <w:rPr>
                <w:lang w:val="uk-UA"/>
              </w:rPr>
            </w:pPr>
            <w:r w:rsidRPr="00BE129D">
              <w:rPr>
                <w:rFonts w:ascii="Times New Roman" w:eastAsia="Times New Roman" w:hAnsi="Times New Roman" w:cs="Times New Roman"/>
                <w:b/>
                <w:i/>
                <w:sz w:val="28"/>
                <w:szCs w:val="28"/>
                <w:lang w:val="uk-UA"/>
              </w:rPr>
              <w:t>адміністративної послуги</w:t>
            </w:r>
          </w:p>
        </w:tc>
      </w:tr>
      <w:tr w:rsidR="00B47B29" w:rsidRPr="00BE129D">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ind w:left="42"/>
              <w:contextualSpacing w:val="0"/>
              <w:jc w:val="center"/>
              <w:rPr>
                <w:lang w:val="uk-UA"/>
              </w:rPr>
            </w:pPr>
            <w:r w:rsidRPr="00BE129D">
              <w:rPr>
                <w:rFonts w:ascii="Times New Roman" w:eastAsia="Times New Roman" w:hAnsi="Times New Roman" w:cs="Times New Roman"/>
                <w:sz w:val="28"/>
                <w:szCs w:val="28"/>
                <w:lang w:val="uk-UA"/>
              </w:rPr>
              <w:t>1</w:t>
            </w:r>
            <w:r w:rsidRPr="00BE129D">
              <w:rPr>
                <w:rFonts w:ascii="Times New Roman" w:eastAsia="Times New Roman" w:hAnsi="Times New Roman" w:cs="Times New Roman"/>
                <w:sz w:val="14"/>
                <w:szCs w:val="14"/>
                <w:lang w:val="uk-UA"/>
              </w:rPr>
              <w:t xml:space="preserve">     </w:t>
            </w:r>
            <w:r w:rsidRPr="00BE129D">
              <w:rPr>
                <w:rFonts w:ascii="Times New Roman" w:eastAsia="Times New Roman" w:hAnsi="Times New Roman" w:cs="Times New Roman"/>
                <w:sz w:val="28"/>
                <w:szCs w:val="28"/>
                <w:lang w:val="uk-UA"/>
              </w:rPr>
              <w:t xml:space="preserve"> </w:t>
            </w:r>
          </w:p>
        </w:tc>
        <w:tc>
          <w:tcPr>
            <w:tcW w:w="3600"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Департамент екології та розвитку рекреаційних зон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ind w:right="3"/>
              <w:contextualSpacing w:val="0"/>
              <w:jc w:val="both"/>
              <w:rPr>
                <w:lang w:val="uk-UA"/>
              </w:rPr>
            </w:pPr>
            <w:r w:rsidRPr="00BE129D">
              <w:rPr>
                <w:rFonts w:ascii="Times New Roman" w:eastAsia="Times New Roman" w:hAnsi="Times New Roman" w:cs="Times New Roman"/>
                <w:sz w:val="28"/>
                <w:szCs w:val="28"/>
                <w:lang w:val="uk-UA"/>
              </w:rPr>
              <w:t>Погодження заяви про намір розділу оцінки впливу на навколишнє середовище у складі проектної документації на нове будівництво</w:t>
            </w:r>
            <w:r w:rsidRPr="00BE129D">
              <w:rPr>
                <w:rFonts w:ascii="Times New Roman" w:eastAsia="Times New Roman" w:hAnsi="Times New Roman" w:cs="Times New Roman"/>
                <w:sz w:val="28"/>
                <w:szCs w:val="28"/>
                <w:highlight w:val="white"/>
                <w:lang w:val="uk-UA"/>
              </w:rPr>
              <w:t xml:space="preserve">, розширення, реконструкцію та технічне переоснащення </w:t>
            </w:r>
            <w:proofErr w:type="spellStart"/>
            <w:r w:rsidRPr="00BE129D">
              <w:rPr>
                <w:rFonts w:ascii="Times New Roman" w:eastAsia="Times New Roman" w:hAnsi="Times New Roman" w:cs="Times New Roman"/>
                <w:sz w:val="28"/>
                <w:szCs w:val="28"/>
                <w:highlight w:val="white"/>
                <w:lang w:val="uk-UA"/>
              </w:rPr>
              <w:t>обєктів</w:t>
            </w:r>
            <w:proofErr w:type="spellEnd"/>
            <w:r w:rsidRPr="00BE129D">
              <w:rPr>
                <w:rFonts w:ascii="Times New Roman" w:eastAsia="Times New Roman" w:hAnsi="Times New Roman" w:cs="Times New Roman"/>
                <w:sz w:val="28"/>
                <w:szCs w:val="28"/>
                <w:highlight w:val="white"/>
                <w:lang w:val="uk-UA"/>
              </w:rPr>
              <w:t xml:space="preserve"> промислового та цивільного призначення</w:t>
            </w:r>
          </w:p>
        </w:tc>
      </w:tr>
      <w:tr w:rsidR="00B47B29" w:rsidRPr="00BE129D">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ind w:left="42"/>
              <w:contextualSpacing w:val="0"/>
              <w:jc w:val="center"/>
              <w:rPr>
                <w:lang w:val="uk-UA"/>
              </w:rPr>
            </w:pPr>
            <w:r w:rsidRPr="00BE129D">
              <w:rPr>
                <w:rFonts w:ascii="Times New Roman" w:eastAsia="Times New Roman" w:hAnsi="Times New Roman" w:cs="Times New Roman"/>
                <w:sz w:val="28"/>
                <w:szCs w:val="28"/>
                <w:lang w:val="uk-UA"/>
              </w:rPr>
              <w:t>2</w:t>
            </w:r>
            <w:r w:rsidRPr="00BE129D">
              <w:rPr>
                <w:rFonts w:ascii="Times New Roman" w:eastAsia="Times New Roman" w:hAnsi="Times New Roman" w:cs="Times New Roman"/>
                <w:sz w:val="14"/>
                <w:szCs w:val="14"/>
                <w:lang w:val="uk-UA"/>
              </w:rPr>
              <w:t xml:space="preserve">    </w:t>
            </w:r>
            <w:r w:rsidRPr="00BE129D">
              <w:rPr>
                <w:rFonts w:ascii="Times New Roman" w:eastAsia="Times New Roman" w:hAnsi="Times New Roman" w:cs="Times New Roman"/>
                <w:sz w:val="28"/>
                <w:szCs w:val="28"/>
                <w:lang w:val="uk-UA"/>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Департамент транспорту, зв'язку та організації дорожнього руху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схеми розміщення майданчиків для паркування транспортних засобів та спеціально відведених автостоянок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ind w:left="42"/>
              <w:contextualSpacing w:val="0"/>
              <w:jc w:val="center"/>
            </w:pPr>
            <w:r>
              <w:rPr>
                <w:rFonts w:ascii="Times New Roman" w:eastAsia="Times New Roman" w:hAnsi="Times New Roman" w:cs="Times New Roman"/>
                <w:sz w:val="28"/>
                <w:szCs w:val="28"/>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схеми організації дорожнього руху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ind w:left="42"/>
              <w:contextualSpacing w:val="0"/>
              <w:jc w:val="center"/>
            </w:pPr>
            <w:r>
              <w:rPr>
                <w:rFonts w:ascii="Times New Roman" w:eastAsia="Times New Roman" w:hAnsi="Times New Roman" w:cs="Times New Roman"/>
                <w:sz w:val="28"/>
                <w:szCs w:val="28"/>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 xml:space="preserve">Погодження схеми розташування зупинок міського </w:t>
            </w:r>
            <w:proofErr w:type="spellStart"/>
            <w:r w:rsidRPr="00BE129D">
              <w:rPr>
                <w:rFonts w:ascii="Times New Roman" w:eastAsia="Times New Roman" w:hAnsi="Times New Roman" w:cs="Times New Roman"/>
                <w:sz w:val="28"/>
                <w:szCs w:val="28"/>
                <w:lang w:val="uk-UA"/>
              </w:rPr>
              <w:t>електро</w:t>
            </w:r>
            <w:proofErr w:type="spellEnd"/>
            <w:r w:rsidRPr="00BE129D">
              <w:rPr>
                <w:rFonts w:ascii="Times New Roman" w:eastAsia="Times New Roman" w:hAnsi="Times New Roman" w:cs="Times New Roman"/>
                <w:sz w:val="28"/>
                <w:szCs w:val="28"/>
                <w:lang w:val="uk-UA"/>
              </w:rPr>
              <w:t xml:space="preserve"> - та автомобільного транспорту (</w:t>
            </w:r>
            <w:proofErr w:type="spellStart"/>
            <w:r w:rsidRPr="00BE129D">
              <w:rPr>
                <w:rFonts w:ascii="Times New Roman" w:eastAsia="Times New Roman" w:hAnsi="Times New Roman" w:cs="Times New Roman"/>
                <w:sz w:val="28"/>
                <w:szCs w:val="28"/>
                <w:lang w:val="uk-UA"/>
              </w:rPr>
              <w:t>зупинковий</w:t>
            </w:r>
            <w:proofErr w:type="spellEnd"/>
            <w:r w:rsidRPr="00BE129D">
              <w:rPr>
                <w:rFonts w:ascii="Times New Roman" w:eastAsia="Times New Roman" w:hAnsi="Times New Roman" w:cs="Times New Roman"/>
                <w:sz w:val="28"/>
                <w:szCs w:val="28"/>
                <w:lang w:val="uk-UA"/>
              </w:rPr>
              <w:t xml:space="preserve"> комплекс)</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ind w:left="42"/>
              <w:contextualSpacing w:val="0"/>
              <w:jc w:val="center"/>
            </w:pPr>
            <w:r>
              <w:rPr>
                <w:rFonts w:ascii="Times New Roman" w:eastAsia="Times New Roman" w:hAnsi="Times New Roman" w:cs="Times New Roman"/>
                <w:sz w:val="28"/>
                <w:szCs w:val="28"/>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схеми засобів технічного регулювання дорожнього руху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ind w:left="42"/>
              <w:contextualSpacing w:val="0"/>
              <w:jc w:val="center"/>
            </w:pPr>
            <w:r>
              <w:rPr>
                <w:rFonts w:ascii="Times New Roman" w:eastAsia="Times New Roman" w:hAnsi="Times New Roman" w:cs="Times New Roman"/>
                <w:sz w:val="28"/>
                <w:szCs w:val="28"/>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Погодження схеми автобусних маршрутів загального користування у м. Одесі</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ind w:left="42"/>
              <w:contextualSpacing w:val="0"/>
              <w:jc w:val="center"/>
            </w:pPr>
            <w:r>
              <w:rPr>
                <w:rFonts w:ascii="Times New Roman" w:eastAsia="Times New Roman" w:hAnsi="Times New Roman" w:cs="Times New Roman"/>
                <w:sz w:val="28"/>
                <w:szCs w:val="28"/>
              </w:rPr>
              <w:t>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Погодження припинення руху транспорту  вулицями міста у зв’язку з проведенням ремонтних, аварійно-відновлювальних робіт з метою запобігання виникненню аварійних ситуацій</w:t>
            </w:r>
          </w:p>
          <w:p w:rsidR="00B47B29" w:rsidRPr="00BE129D" w:rsidRDefault="00B47B29">
            <w:pPr>
              <w:spacing w:line="240" w:lineRule="auto"/>
              <w:contextualSpacing w:val="0"/>
              <w:jc w:val="both"/>
              <w:rPr>
                <w:lang w:val="uk-UA"/>
              </w:rPr>
            </w:pPr>
          </w:p>
        </w:tc>
      </w:tr>
      <w:tr w:rsidR="00B47B29">
        <w:tc>
          <w:tcPr>
            <w:tcW w:w="615" w:type="dxa"/>
            <w:tcBorders>
              <w:top w:val="single" w:sz="4"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3037D5" w:rsidP="009D0DA6">
            <w:pPr>
              <w:ind w:left="42"/>
              <w:contextualSpacing w:val="0"/>
              <w:jc w:val="center"/>
            </w:pPr>
            <w:r>
              <w:rPr>
                <w:rFonts w:ascii="Times New Roman" w:eastAsia="Times New Roman" w:hAnsi="Times New Roman" w:cs="Times New Roman"/>
                <w:sz w:val="28"/>
                <w:szCs w:val="28"/>
              </w:rPr>
              <w:t>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top w:val="single" w:sz="4" w:space="0" w:color="000000"/>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Департамент муніципальної безпеки Одеської міської ради</w:t>
            </w:r>
          </w:p>
        </w:tc>
        <w:tc>
          <w:tcPr>
            <w:tcW w:w="5295" w:type="dxa"/>
            <w:tcBorders>
              <w:top w:val="single" w:sz="4" w:space="0" w:color="000000"/>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схеми розміщення майданчиків для паркування транспортних засобів та спеціально відведених автостоянок</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lastRenderedPageBreak/>
              <w:t>9</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top w:val="single" w:sz="4" w:space="0" w:color="000000"/>
              <w:bottom w:val="single" w:sz="4"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проекту благоустрою</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Одеська міська рада (заступник міського голови з питань діяльності виконавчих органів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Затвердження схеми розміщення майданчиків для паркування транспортних засобів та спеціально відведених автостоянок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Служба у справах дітей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Видача посвідчень батьків та дітей із багатодітних сімей</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строку дії посвідчень батьків та дітей із багатодітних сімей</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Видача посвідчень дітям по досягненню шести років</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 xml:space="preserve">Видача дубліката посвідчень батьків та дітей із багатодітних сімей у разі втрати </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Вклеювання фотокартки у посвідчення у разі досягнення дитиною 14-річного віку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розвитку споживчого ринку та захисту прав споживачів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висновку щодо можливості установки тимчасових споруд за конкретною адресою</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висновку щодо можливості переоформлення паспорта прив’язки тимчасової споруди для провадження підприємницької діяльності</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висновку щодо продовження строку дії паспорта прив’язки тимчасової споруди для провадження підприємницької діяльності</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висновку щодо анулювання паспорта прив’язки тимчасової споруди для провадження підприємницької діяльності</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Укладення договору на право тимчасового користування місцями для розташування тимчасових споруд</w:t>
            </w:r>
          </w:p>
        </w:tc>
      </w:tr>
      <w:tr w:rsidR="00B47B29">
        <w:tc>
          <w:tcPr>
            <w:tcW w:w="615" w:type="dxa"/>
            <w:tcBorders>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21</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Продовження терміну дії договору на право тимчасового користування місцями для розташування тимчасових споруд</w:t>
            </w:r>
          </w:p>
          <w:p w:rsidR="003037D5" w:rsidRPr="00BE129D" w:rsidRDefault="003037D5">
            <w:pPr>
              <w:spacing w:line="240" w:lineRule="auto"/>
              <w:contextualSpacing w:val="0"/>
              <w:jc w:val="both"/>
              <w:rPr>
                <w:rFonts w:ascii="Times New Roman" w:eastAsia="Times New Roman" w:hAnsi="Times New Roman" w:cs="Times New Roman"/>
                <w:sz w:val="28"/>
                <w:szCs w:val="28"/>
                <w:lang w:val="uk-UA"/>
              </w:rPr>
            </w:pPr>
          </w:p>
          <w:p w:rsidR="003037D5" w:rsidRPr="00BE129D" w:rsidRDefault="003037D5">
            <w:pPr>
              <w:spacing w:line="240" w:lineRule="auto"/>
              <w:contextualSpacing w:val="0"/>
              <w:jc w:val="both"/>
              <w:rPr>
                <w:lang w:val="uk-UA"/>
              </w:rPr>
            </w:pPr>
          </w:p>
        </w:tc>
      </w:tr>
      <w:tr w:rsidR="00B47B29">
        <w:trPr>
          <w:trHeight w:val="1100"/>
        </w:trPr>
        <w:tc>
          <w:tcPr>
            <w:tcW w:w="615" w:type="dxa"/>
            <w:tcBorders>
              <w:top w:val="single" w:sz="4"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3037D5" w:rsidP="000966FB">
            <w:pPr>
              <w:pBdr>
                <w:top w:val="none" w:sz="0" w:space="0" w:color="auto"/>
              </w:pBdr>
              <w:ind w:left="42"/>
              <w:contextualSpacing w:val="0"/>
              <w:jc w:val="center"/>
            </w:pPr>
            <w:r>
              <w:rPr>
                <w:rFonts w:ascii="Times New Roman" w:eastAsia="Times New Roman" w:hAnsi="Times New Roman" w:cs="Times New Roman"/>
                <w:sz w:val="28"/>
                <w:szCs w:val="28"/>
              </w:rPr>
              <w:lastRenderedPageBreak/>
              <w:t>22</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p w:rsidR="00B47B29" w:rsidRDefault="003037D5" w:rsidP="000966FB">
            <w:pPr>
              <w:pBdr>
                <w:top w:val="none" w:sz="0" w:space="0" w:color="auto"/>
              </w:pBdr>
              <w:ind w:left="42"/>
              <w:contextualSpacing w:val="0"/>
              <w:jc w:val="center"/>
            </w:pPr>
            <w:r>
              <w:rPr>
                <w:rFonts w:ascii="Times New Roman" w:eastAsia="Times New Roman" w:hAnsi="Times New Roman" w:cs="Times New Roman"/>
                <w:sz w:val="14"/>
                <w:szCs w:val="14"/>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4" w:space="0" w:color="000000"/>
              <w:right w:val="single" w:sz="8" w:space="0" w:color="000000"/>
            </w:tcBorders>
            <w:tcMar>
              <w:top w:w="100" w:type="dxa"/>
              <w:left w:w="100" w:type="dxa"/>
              <w:bottom w:w="100" w:type="dxa"/>
              <w:right w:w="100" w:type="dxa"/>
            </w:tcMar>
          </w:tcPr>
          <w:p w:rsidR="00B47B29" w:rsidRPr="00BE129D" w:rsidRDefault="003037D5" w:rsidP="003037D5">
            <w:pPr>
              <w:pBdr>
                <w:top w:val="single" w:sz="4" w:space="1" w:color="auto"/>
              </w:pBdr>
              <w:spacing w:line="240" w:lineRule="auto"/>
              <w:contextualSpacing w:val="0"/>
              <w:jc w:val="both"/>
              <w:rPr>
                <w:lang w:val="uk-UA"/>
              </w:rPr>
            </w:pPr>
            <w:r w:rsidRPr="00BE129D">
              <w:rPr>
                <w:rFonts w:ascii="Times New Roman" w:eastAsia="Times New Roman" w:hAnsi="Times New Roman" w:cs="Times New Roman"/>
                <w:sz w:val="28"/>
                <w:szCs w:val="28"/>
                <w:lang w:val="uk-UA"/>
              </w:rPr>
              <w:t>Укладення договору на право тимчасового користування місцями для розташування елементів вуличної торгівлі</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 xml:space="preserve">Управління архітектури та містобудування </w:t>
            </w:r>
            <w:r w:rsidRPr="00BE129D">
              <w:rPr>
                <w:rFonts w:ascii="Times New Roman" w:eastAsia="Times New Roman" w:hAnsi="Times New Roman" w:cs="Times New Roman"/>
                <w:b/>
                <w:sz w:val="28"/>
                <w:szCs w:val="28"/>
                <w:lang w:val="uk-UA"/>
              </w:rPr>
              <w:t xml:space="preserve"> </w:t>
            </w:r>
            <w:r w:rsidRPr="00BE129D">
              <w:rPr>
                <w:rFonts w:ascii="Times New Roman" w:eastAsia="Times New Roman" w:hAnsi="Times New Roman" w:cs="Times New Roman"/>
                <w:i/>
                <w:sz w:val="28"/>
                <w:szCs w:val="28"/>
                <w:lang w:val="uk-UA"/>
              </w:rPr>
              <w:t>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висновку по проекту землеустрою  щодо відведення земельної ділянки або технічній документації із встановлення меж земельної ділянки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будівельного паспорта забудови земельної ділянки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25</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містобудівних умов та обмежень забудови земельної ділянки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вихідних даних на всі види проектних містобудівних робіт</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проектної містобудівної документації</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розміщення реклами або вивіски</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29</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Pr="00BE129D" w:rsidRDefault="00B47B29">
            <w:pPr>
              <w:contextualSpacing w:val="0"/>
              <w:jc w:val="both"/>
              <w:rPr>
                <w:lang w:val="uk-UA"/>
              </w:rPr>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терміну дії погодження реклами або вивіски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(листа) повідомлення  щодо відповідності намірів розташування тимчасової споруди для провадження підприємницької діяльності (ТС)</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31</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паспорта прив’язки тимчасової споруди для провадження підприємницької діяльності (ТС)</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32</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дубліката паспорта прив’язки тимчасової споруди для провадження підприємницької діяльності (ТС)</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Внесення змін до паспорта прив’язки тимчасової споруди для провадження підприємницької діяльності (ТС)</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Переоформлення паспорта прив’язки тимчасової споруди для провадження підприємницької діяльності (ТС)</w:t>
            </w:r>
          </w:p>
        </w:tc>
      </w:tr>
      <w:tr w:rsidR="00B47B29">
        <w:tc>
          <w:tcPr>
            <w:tcW w:w="615" w:type="dxa"/>
            <w:tcBorders>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35</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строку дії паспорта прив’язки тимчасової споруди для провадження підприємницької діяльності</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lastRenderedPageBreak/>
              <w:t>36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Надання рішення про анулювання паспорта прив’язки тимчасової споруди для провадження підприємницької діяльності</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дорожнього господарства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Погодження схеми розміщення майданчиків для паркування транспортних засобів та спеціально відведених автостоянок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інженерного захисту території міста та розвитку узбережжя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Узгодження проектної документації нового будівництва</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39</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Видача технічних умов на проектування</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Видача дозволу на інженерно-геологічні, спеціалізовані гідрогеологічні та геофізичні вишукування для обґрунтування проектних рішень всіх видів будівництва, пошукові роботи на підземні виробки, технічних умов для проектування та будівництва об'єктів на ділянках, що мають вплив небезпечних інженерно-геологічних процесів, погодження проектної документації на будівництво та землекористування для осіб, які ведуть нове будівництво</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41</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Узгодження проектної документації відводу земельних ділянок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42</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Проведення експертизи матеріалів інженерно-геологічних та</w:t>
            </w:r>
          </w:p>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гідрогеологічних вишукувань</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реклами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Встановлення пріоритету на місце розташування рекламного засобу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строку пріоритету на місце розташування рекламного засобу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45</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Анулювання пріоритету на місце розташування рекламного засобу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Внесення змін до дозволу на розміщення  зовнішньої реклами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строку дії дозволу на розміщення зовнішньої реклами</w:t>
            </w:r>
          </w:p>
        </w:tc>
      </w:tr>
      <w:tr w:rsidR="00B47B29">
        <w:tc>
          <w:tcPr>
            <w:tcW w:w="615" w:type="dxa"/>
            <w:tcBorders>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48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Реєстрація технічного паспорта вивіски</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lastRenderedPageBreak/>
              <w:t>49</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Реєстрація та введення до електронного реєстру обліку вивісок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50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Анулювання заяви на реєстрацію технічного паспорта вивіски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51</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Продовження строку дії технічного паспорта вивіски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52</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Внесення змін до технічного паспорта вивіски та його переоформлення</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53</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Анулювання технічного паспорта вивіски</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3037D5">
            <w:pPr>
              <w:ind w:left="42"/>
              <w:contextualSpacing w:val="0"/>
              <w:jc w:val="center"/>
            </w:pPr>
            <w:r>
              <w:rPr>
                <w:rFonts w:ascii="Times New Roman" w:eastAsia="Times New Roman" w:hAnsi="Times New Roman" w:cs="Times New Roman"/>
                <w:sz w:val="28"/>
                <w:szCs w:val="28"/>
              </w:rPr>
              <w:t>54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з питань взаємодії з органами самоорганізації населення Одеської міської ради</w:t>
            </w: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Реєстрація створення органу самоорганізації населення</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Default="00104955" w:rsidP="009D0DA6">
            <w:pPr>
              <w:ind w:left="42"/>
              <w:contextualSpacing w:val="0"/>
              <w:jc w:val="center"/>
            </w:pPr>
            <w:r>
              <w:rPr>
                <w:rFonts w:ascii="Times New Roman" w:eastAsia="Times New Roman" w:hAnsi="Times New Roman" w:cs="Times New Roman"/>
                <w:sz w:val="28"/>
                <w:szCs w:val="28"/>
              </w:rPr>
              <w:t>5</w:t>
            </w:r>
            <w:proofErr w:type="spellStart"/>
            <w:r>
              <w:rPr>
                <w:rFonts w:ascii="Times New Roman" w:eastAsia="Times New Roman" w:hAnsi="Times New Roman" w:cs="Times New Roman"/>
                <w:sz w:val="28"/>
                <w:szCs w:val="28"/>
                <w:lang w:val="uk-UA"/>
              </w:rPr>
              <w:t>5</w:t>
            </w:r>
            <w:proofErr w:type="spellEnd"/>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lang w:val="uk-UA"/>
              </w:rPr>
            </w:pPr>
            <w:r w:rsidRPr="00BE129D">
              <w:rPr>
                <w:rFonts w:ascii="Times New Roman" w:eastAsia="Times New Roman" w:hAnsi="Times New Roman" w:cs="Times New Roman"/>
                <w:i/>
                <w:sz w:val="28"/>
                <w:szCs w:val="28"/>
                <w:highlight w:val="white"/>
                <w:lang w:val="uk-UA"/>
              </w:rPr>
              <w:t>Управління Державного архітектурно-будівельного контролю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lang w:val="uk-UA"/>
              </w:rPr>
            </w:pPr>
            <w:r w:rsidRPr="00BE129D">
              <w:rPr>
                <w:rFonts w:ascii="Times New Roman" w:eastAsia="Times New Roman" w:hAnsi="Times New Roman" w:cs="Times New Roman"/>
                <w:sz w:val="28"/>
                <w:szCs w:val="28"/>
                <w:lang w:val="uk-UA"/>
              </w:rPr>
              <w:t>Внесення змін до декларації про початок виконання будівельних робіт</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Default="00104955" w:rsidP="009D0DA6">
            <w:pPr>
              <w:ind w:left="42"/>
              <w:contextualSpacing w:val="0"/>
              <w:jc w:val="center"/>
            </w:pPr>
            <w:r>
              <w:rPr>
                <w:rFonts w:ascii="Times New Roman" w:eastAsia="Times New Roman" w:hAnsi="Times New Roman" w:cs="Times New Roman"/>
                <w:sz w:val="28"/>
                <w:szCs w:val="28"/>
              </w:rPr>
              <w:t>5</w:t>
            </w:r>
            <w:r>
              <w:rPr>
                <w:rFonts w:ascii="Times New Roman" w:eastAsia="Times New Roman" w:hAnsi="Times New Roman" w:cs="Times New Roman"/>
                <w:sz w:val="28"/>
                <w:szCs w:val="28"/>
                <w:lang w:val="uk-UA"/>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left w:val="single" w:sz="8" w:space="0" w:color="000000"/>
              <w:right w:val="single" w:sz="8" w:space="0" w:color="000000"/>
            </w:tcBorders>
            <w:tcMar>
              <w:top w:w="100" w:type="dxa"/>
              <w:left w:w="100" w:type="dxa"/>
              <w:bottom w:w="100" w:type="dxa"/>
              <w:right w:w="100" w:type="dxa"/>
            </w:tcMar>
          </w:tcPr>
          <w:p w:rsidR="00104955" w:rsidRPr="00BE129D" w:rsidRDefault="00104955">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 xml:space="preserve">Реєстрація декларації про готовність до експлуатації об'єкта, що за класом наслідків (відповідальності) належить до об'єктів з незначними наслідками (СС1) </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Pr="009D0DA6" w:rsidRDefault="00104955">
            <w:pPr>
              <w:ind w:left="42"/>
              <w:contextualSpacing w:val="0"/>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lang w:val="uk-UA"/>
              </w:rPr>
              <w:t>7</w:t>
            </w:r>
          </w:p>
        </w:tc>
        <w:tc>
          <w:tcPr>
            <w:tcW w:w="3600" w:type="dxa"/>
            <w:vMerge/>
            <w:tcBorders>
              <w:left w:val="single" w:sz="8" w:space="0" w:color="000000"/>
              <w:right w:val="single" w:sz="8" w:space="0" w:color="000000"/>
            </w:tcBorders>
            <w:tcMar>
              <w:top w:w="100" w:type="dxa"/>
              <w:left w:w="100" w:type="dxa"/>
              <w:bottom w:w="100" w:type="dxa"/>
              <w:right w:w="100" w:type="dxa"/>
            </w:tcMar>
          </w:tcPr>
          <w:p w:rsidR="00104955" w:rsidRPr="00BE129D" w:rsidRDefault="00104955">
            <w:pPr>
              <w:contextualSpacing w:val="0"/>
              <w:jc w:val="both"/>
              <w:rPr>
                <w:lang w:val="uk-UA"/>
              </w:rPr>
            </w:pP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Внесення змін до декларації про готовність до експлуатації об'єкта, що за класом наслідків (відповідальності) належить до об'єктів з незначними наслідками (СС1)</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Default="00104955" w:rsidP="009D0DA6">
            <w:pPr>
              <w:ind w:left="42"/>
              <w:contextualSpacing w:val="0"/>
              <w:jc w:val="center"/>
            </w:pPr>
            <w:r>
              <w:rPr>
                <w:rFonts w:ascii="Times New Roman" w:eastAsia="Times New Roman" w:hAnsi="Times New Roman" w:cs="Times New Roman"/>
                <w:sz w:val="28"/>
                <w:szCs w:val="28"/>
              </w:rPr>
              <w:t>5</w:t>
            </w:r>
            <w:r>
              <w:rPr>
                <w:rFonts w:ascii="Times New Roman" w:eastAsia="Times New Roman" w:hAnsi="Times New Roman" w:cs="Times New Roman"/>
                <w:sz w:val="28"/>
                <w:szCs w:val="28"/>
                <w:lang w:val="uk-UA"/>
              </w:rPr>
              <w:t>8</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left w:val="single" w:sz="8" w:space="0" w:color="000000"/>
              <w:right w:val="single" w:sz="8" w:space="0" w:color="000000"/>
            </w:tcBorders>
            <w:tcMar>
              <w:top w:w="100" w:type="dxa"/>
              <w:left w:w="100" w:type="dxa"/>
              <w:bottom w:w="100" w:type="dxa"/>
              <w:right w:w="100" w:type="dxa"/>
            </w:tcMar>
          </w:tcPr>
          <w:p w:rsidR="00104955" w:rsidRDefault="00104955">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Реєстрація декларації про готовність до експлуатації об'єкта, будівництво якого здійснено на підставі будівельного паспорта</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Pr="009D0DA6" w:rsidRDefault="00104955">
            <w:pPr>
              <w:ind w:left="42"/>
              <w:contextualSpacing w:val="0"/>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59</w:t>
            </w:r>
          </w:p>
        </w:tc>
        <w:tc>
          <w:tcPr>
            <w:tcW w:w="3600" w:type="dxa"/>
            <w:vMerge/>
            <w:tcBorders>
              <w:left w:val="single" w:sz="8" w:space="0" w:color="000000"/>
              <w:right w:val="single" w:sz="8" w:space="0" w:color="000000"/>
            </w:tcBorders>
            <w:tcMar>
              <w:top w:w="100" w:type="dxa"/>
              <w:left w:w="100" w:type="dxa"/>
              <w:bottom w:w="100" w:type="dxa"/>
              <w:right w:w="100" w:type="dxa"/>
            </w:tcMar>
          </w:tcPr>
          <w:p w:rsidR="00104955" w:rsidRDefault="00104955">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 xml:space="preserve">Внесення змін до декларації про готовність до експлуатації об'єкта, будівництво якого здійснено на підставі будівельного паспорта  </w:t>
            </w:r>
          </w:p>
        </w:tc>
      </w:tr>
      <w:tr w:rsidR="00104955" w:rsidTr="00651524">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Default="00104955">
            <w:pPr>
              <w:ind w:left="42"/>
              <w:contextualSpacing w:val="0"/>
              <w:jc w:val="center"/>
            </w:pPr>
            <w:r>
              <w:rPr>
                <w:rFonts w:ascii="Times New Roman" w:eastAsia="Times New Roman" w:hAnsi="Times New Roman" w:cs="Times New Roman"/>
                <w:sz w:val="28"/>
                <w:szCs w:val="28"/>
                <w:lang w:val="uk-UA"/>
              </w:rPr>
              <w:t>60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 </w:t>
            </w:r>
          </w:p>
        </w:tc>
        <w:tc>
          <w:tcPr>
            <w:tcW w:w="3600" w:type="dxa"/>
            <w:vMerge/>
            <w:tcBorders>
              <w:left w:val="single" w:sz="8" w:space="0" w:color="000000"/>
              <w:right w:val="single" w:sz="8" w:space="0" w:color="000000"/>
            </w:tcBorders>
            <w:tcMar>
              <w:top w:w="100" w:type="dxa"/>
              <w:left w:w="100" w:type="dxa"/>
              <w:bottom w:w="100" w:type="dxa"/>
              <w:right w:w="100" w:type="dxa"/>
            </w:tcMar>
          </w:tcPr>
          <w:p w:rsidR="00104955" w:rsidRDefault="00104955">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rFonts w:ascii="Times New Roman" w:eastAsia="Times New Roman" w:hAnsi="Times New Roman" w:cs="Times New Roman"/>
                <w:sz w:val="28"/>
                <w:szCs w:val="28"/>
                <w:lang w:val="uk-UA"/>
              </w:rPr>
            </w:pPr>
            <w:r w:rsidRPr="00BE129D">
              <w:rPr>
                <w:rFonts w:ascii="Times New Roman" w:eastAsia="Times New Roman" w:hAnsi="Times New Roman" w:cs="Times New Roman"/>
                <w:sz w:val="28"/>
                <w:szCs w:val="28"/>
                <w:lang w:val="uk-UA"/>
              </w:rPr>
              <w:t>Реєстрація декларації про готовність до експлуатації самочинно збудованого об'єкта, на яке визнано право власності за рішенням суду</w:t>
            </w:r>
          </w:p>
        </w:tc>
      </w:tr>
      <w:tr w:rsidR="00104955" w:rsidTr="00104955">
        <w:trPr>
          <w:trHeight w:val="1591"/>
        </w:trPr>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Pr="009D0DA6" w:rsidRDefault="00104955" w:rsidP="000966FB">
            <w:pPr>
              <w:pBdr>
                <w:top w:val="single" w:sz="4" w:space="1" w:color="auto"/>
              </w:pBdr>
              <w:ind w:left="42" w:hanging="135"/>
              <w:contextualSpacing w:val="0"/>
              <w:jc w:val="both"/>
              <w:rPr>
                <w:lang w:val="uk-UA"/>
              </w:rPr>
            </w:pPr>
            <w:r>
              <w:rPr>
                <w:rFonts w:ascii="Times New Roman" w:eastAsia="Times New Roman" w:hAnsi="Times New Roman" w:cs="Times New Roman"/>
                <w:sz w:val="28"/>
                <w:szCs w:val="28"/>
              </w:rPr>
              <w:lastRenderedPageBreak/>
              <w:t xml:space="preserve">  </w:t>
            </w:r>
            <w:r>
              <w:rPr>
                <w:rFonts w:ascii="Times New Roman" w:eastAsia="Times New Roman" w:hAnsi="Times New Roman" w:cs="Times New Roman"/>
                <w:sz w:val="28"/>
                <w:szCs w:val="28"/>
                <w:lang w:val="uk-UA"/>
              </w:rPr>
              <w:t>61</w:t>
            </w:r>
            <w:bookmarkStart w:id="0" w:name="_GoBack"/>
            <w:bookmarkEnd w:id="0"/>
          </w:p>
        </w:tc>
        <w:tc>
          <w:tcPr>
            <w:tcW w:w="360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104955" w:rsidRDefault="00104955">
            <w:pPr>
              <w:contextualSpacing w:val="0"/>
              <w:jc w:val="both"/>
            </w:pPr>
          </w:p>
        </w:tc>
        <w:tc>
          <w:tcPr>
            <w:tcW w:w="5295" w:type="dxa"/>
            <w:tcBorders>
              <w:top w:val="single" w:sz="4" w:space="0" w:color="auto"/>
              <w:bottom w:val="single" w:sz="8" w:space="0" w:color="000000"/>
              <w:right w:val="single" w:sz="8" w:space="0" w:color="000000"/>
            </w:tcBorders>
            <w:tcMar>
              <w:top w:w="100" w:type="dxa"/>
              <w:left w:w="100" w:type="dxa"/>
              <w:bottom w:w="100" w:type="dxa"/>
              <w:right w:w="100" w:type="dxa"/>
            </w:tcMar>
          </w:tcPr>
          <w:p w:rsidR="00104955" w:rsidRPr="00BE129D" w:rsidRDefault="00104955">
            <w:pPr>
              <w:spacing w:line="240" w:lineRule="auto"/>
              <w:contextualSpacing w:val="0"/>
              <w:jc w:val="both"/>
              <w:rPr>
                <w:lang w:val="uk-UA"/>
              </w:rPr>
            </w:pPr>
            <w:r w:rsidRPr="00BE129D">
              <w:rPr>
                <w:rFonts w:ascii="Times New Roman" w:eastAsia="Times New Roman" w:hAnsi="Times New Roman" w:cs="Times New Roman"/>
                <w:sz w:val="28"/>
                <w:szCs w:val="28"/>
                <w:lang w:val="uk-UA"/>
              </w:rPr>
              <w:t>Внесення змін до декларації про готовність до експлуатації самочинно збудованого об'єкта, на яке визнано право власності за рішенням суду</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62</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i/>
                <w:sz w:val="28"/>
                <w:szCs w:val="28"/>
                <w:lang w:val="uk-UA"/>
              </w:rPr>
              <w:t>Управління з питань охорони об’єктів культурної спадщини Одеської міської ради</w:t>
            </w: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Висновок щодо науково-проектної документації</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63</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Висновок щодо відчуження або передачі                             у користування нерухомих об’єктів культурної спадщини</w:t>
            </w:r>
          </w:p>
        </w:tc>
      </w:tr>
      <w:tr w:rsidR="00B47B29">
        <w:tc>
          <w:tcPr>
            <w:tcW w:w="615" w:type="dxa"/>
            <w:tcBorders>
              <w:left w:val="single" w:sz="8" w:space="0" w:color="000000"/>
              <w:bottom w:val="single" w:sz="4"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64</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4"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Довідка щодо належності об’єктів нерухомості до об’єктів культурної спадщини</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bookmarkStart w:id="1" w:name="_gjdgxs" w:colFirst="0" w:colLast="0"/>
            <w:bookmarkEnd w:id="1"/>
            <w:r>
              <w:rPr>
                <w:rFonts w:ascii="Times New Roman" w:eastAsia="Times New Roman" w:hAnsi="Times New Roman" w:cs="Times New Roman"/>
                <w:sz w:val="28"/>
                <w:szCs w:val="28"/>
                <w:lang w:val="uk-UA"/>
              </w:rPr>
              <w:t>65</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Pr="00BE129D" w:rsidRDefault="003037D5">
            <w:pPr>
              <w:spacing w:line="240" w:lineRule="auto"/>
              <w:contextualSpacing w:val="0"/>
              <w:jc w:val="both"/>
              <w:rPr>
                <w:lang w:val="uk-UA"/>
              </w:rPr>
            </w:pPr>
            <w:r w:rsidRPr="00BE129D">
              <w:rPr>
                <w:rFonts w:ascii="Times New Roman" w:eastAsia="Times New Roman" w:hAnsi="Times New Roman" w:cs="Times New Roman"/>
                <w:sz w:val="28"/>
                <w:szCs w:val="28"/>
                <w:lang w:val="uk-UA"/>
              </w:rPr>
              <w:t>Висновок щодо відведення земельних ділянок, у тому числі тих, що призначаються для сільськогосподарських потреб, погодження зміни землевласника, землекористувача (у разі делегування цих повноважень органом культурної спадщини вищого рівня)</w:t>
            </w:r>
          </w:p>
        </w:tc>
      </w:tr>
      <w:tr w:rsidR="00B47B29">
        <w:tc>
          <w:tcPr>
            <w:tcW w:w="61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66</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val="restart"/>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proofErr w:type="gramStart"/>
            <w:r>
              <w:rPr>
                <w:rFonts w:ascii="Times New Roman" w:eastAsia="Times New Roman" w:hAnsi="Times New Roman" w:cs="Times New Roman"/>
                <w:i/>
                <w:sz w:val="28"/>
                <w:szCs w:val="28"/>
              </w:rPr>
              <w:t>Районні</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адміністрації</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Одеської</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міської</w:t>
            </w:r>
            <w:proofErr w:type="spellEnd"/>
            <w:r>
              <w:rPr>
                <w:rFonts w:ascii="Times New Roman" w:eastAsia="Times New Roman" w:hAnsi="Times New Roman" w:cs="Times New Roman"/>
                <w:i/>
                <w:sz w:val="28"/>
                <w:szCs w:val="28"/>
              </w:rPr>
              <w:t xml:space="preserve"> ради</w:t>
            </w:r>
            <w:proofErr w:type="gramEnd"/>
          </w:p>
        </w:tc>
        <w:tc>
          <w:tcPr>
            <w:tcW w:w="5295" w:type="dxa"/>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Узгодження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елементів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вуличної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торгі</w:t>
            </w:r>
            <w:proofErr w:type="gramStart"/>
            <w:r>
              <w:rPr>
                <w:rFonts w:ascii="Times New Roman" w:eastAsia="Times New Roman" w:hAnsi="Times New Roman" w:cs="Times New Roman"/>
                <w:sz w:val="28"/>
                <w:szCs w:val="28"/>
              </w:rPr>
              <w:t>вл</w:t>
            </w:r>
            <w:proofErr w:type="gramEnd"/>
            <w:r>
              <w:rPr>
                <w:rFonts w:ascii="Times New Roman" w:eastAsia="Times New Roman" w:hAnsi="Times New Roman" w:cs="Times New Roman"/>
                <w:sz w:val="28"/>
                <w:szCs w:val="28"/>
              </w:rPr>
              <w:t>і</w:t>
            </w:r>
            <w:proofErr w:type="spellEnd"/>
            <w:r>
              <w:rPr>
                <w:rFonts w:ascii="Times New Roman" w:eastAsia="Times New Roman" w:hAnsi="Times New Roman" w:cs="Times New Roman"/>
                <w:sz w:val="28"/>
                <w:szCs w:val="28"/>
              </w:rPr>
              <w:t xml:space="preserve"> (у тому </w:t>
            </w:r>
            <w:proofErr w:type="spellStart"/>
            <w:r>
              <w:rPr>
                <w:rFonts w:ascii="Times New Roman" w:eastAsia="Times New Roman" w:hAnsi="Times New Roman" w:cs="Times New Roman"/>
                <w:sz w:val="28"/>
                <w:szCs w:val="28"/>
              </w:rPr>
              <w:t>числі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w:t>
            </w:r>
            <w:proofErr w:type="spellEnd"/>
            <w:r>
              <w:rPr>
                <w:rFonts w:ascii="Times New Roman" w:eastAsia="Times New Roman" w:hAnsi="Times New Roman" w:cs="Times New Roman"/>
                <w:sz w:val="28"/>
                <w:szCs w:val="28"/>
              </w:rPr>
              <w:t xml:space="preserve"> час </w:t>
            </w:r>
            <w:proofErr w:type="spellStart"/>
            <w:r>
              <w:rPr>
                <w:rFonts w:ascii="Times New Roman" w:eastAsia="Times New Roman" w:hAnsi="Times New Roman" w:cs="Times New Roman"/>
                <w:sz w:val="28"/>
                <w:szCs w:val="28"/>
              </w:rPr>
              <w:t>проведення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ярмарків</w:t>
            </w:r>
            <w:proofErr w:type="spellEnd"/>
            <w:r>
              <w:rPr>
                <w:rFonts w:ascii="Times New Roman" w:eastAsia="Times New Roman" w:hAnsi="Times New Roman" w:cs="Times New Roman"/>
                <w:sz w:val="28"/>
                <w:szCs w:val="28"/>
              </w:rPr>
              <w:t>)</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67</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Погодження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схеми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розміщення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майданчикі</w:t>
            </w:r>
            <w:proofErr w:type="gramStart"/>
            <w:r>
              <w:rPr>
                <w:rFonts w:ascii="Times New Roman" w:eastAsia="Times New Roman" w:hAnsi="Times New Roman" w:cs="Times New Roman"/>
                <w:sz w:val="28"/>
                <w:szCs w:val="28"/>
              </w:rPr>
              <w:t>в</w:t>
            </w:r>
            <w:proofErr w:type="spellEnd"/>
            <w:proofErr w:type="gramEnd"/>
            <w:r>
              <w:rPr>
                <w:rFonts w:ascii="Times New Roman" w:eastAsia="Times New Roman" w:hAnsi="Times New Roman" w:cs="Times New Roman"/>
                <w:sz w:val="28"/>
                <w:szCs w:val="28"/>
              </w:rPr>
              <w:t xml:space="preserve"> для </w:t>
            </w:r>
            <w:proofErr w:type="spellStart"/>
            <w:r>
              <w:rPr>
                <w:rFonts w:ascii="Times New Roman" w:eastAsia="Times New Roman" w:hAnsi="Times New Roman" w:cs="Times New Roman"/>
                <w:sz w:val="28"/>
                <w:szCs w:val="28"/>
              </w:rPr>
              <w:t>паркування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транспортних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засобів</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спеціально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відведених</w:t>
            </w:r>
            <w:proofErr w:type="spellEnd"/>
            <w:r>
              <w:rPr>
                <w:rFonts w:ascii="Times New Roman" w:eastAsia="Times New Roman" w:hAnsi="Times New Roman" w:cs="Times New Roman"/>
                <w:sz w:val="28"/>
                <w:szCs w:val="28"/>
              </w:rPr>
              <w:t xml:space="preserve"> автостоянок</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68</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top w:val="single" w:sz="4" w:space="0" w:color="000000"/>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Погодження</w:t>
            </w:r>
            <w:proofErr w:type="spellEnd"/>
            <w:r>
              <w:rPr>
                <w:rFonts w:ascii="Times New Roman" w:eastAsia="Times New Roman" w:hAnsi="Times New Roman" w:cs="Times New Roman"/>
                <w:sz w:val="28"/>
                <w:szCs w:val="28"/>
              </w:rPr>
              <w:t xml:space="preserve"> проекту благоустрою</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69</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val="restart"/>
            <w:tcBorders>
              <w:bottom w:val="single" w:sz="8" w:space="0" w:color="000000"/>
              <w:right w:val="single" w:sz="8" w:space="0" w:color="000000"/>
            </w:tcBorders>
            <w:tcMar>
              <w:top w:w="100" w:type="dxa"/>
              <w:left w:w="100" w:type="dxa"/>
              <w:bottom w:w="100" w:type="dxa"/>
              <w:right w:w="100" w:type="dxa"/>
            </w:tcMar>
          </w:tcPr>
          <w:p w:rsidR="00B47B29" w:rsidRDefault="003037D5">
            <w:pPr>
              <w:spacing w:after="240" w:line="240" w:lineRule="auto"/>
              <w:contextualSpacing w:val="0"/>
              <w:jc w:val="both"/>
            </w:pPr>
            <w:r>
              <w:rPr>
                <w:rFonts w:ascii="Times New Roman" w:eastAsia="Times New Roman" w:hAnsi="Times New Roman" w:cs="Times New Roman"/>
                <w:i/>
                <w:sz w:val="28"/>
                <w:szCs w:val="28"/>
              </w:rPr>
              <w:t xml:space="preserve">Департамент </w:t>
            </w:r>
            <w:proofErr w:type="spellStart"/>
            <w:r>
              <w:rPr>
                <w:rFonts w:ascii="Times New Roman" w:eastAsia="Times New Roman" w:hAnsi="Times New Roman" w:cs="Times New Roman"/>
                <w:i/>
                <w:sz w:val="28"/>
                <w:szCs w:val="28"/>
              </w:rPr>
              <w:t>надання</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адміністративних</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послуг</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Одеської</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міської</w:t>
            </w:r>
            <w:proofErr w:type="spellEnd"/>
            <w:r>
              <w:rPr>
                <w:rFonts w:ascii="Times New Roman" w:eastAsia="Times New Roman" w:hAnsi="Times New Roman" w:cs="Times New Roman"/>
                <w:i/>
                <w:sz w:val="28"/>
                <w:szCs w:val="28"/>
              </w:rPr>
              <w:t xml:space="preserve"> </w:t>
            </w:r>
            <w:proofErr w:type="gramStart"/>
            <w:r>
              <w:rPr>
                <w:rFonts w:ascii="Times New Roman" w:eastAsia="Times New Roman" w:hAnsi="Times New Roman" w:cs="Times New Roman"/>
                <w:i/>
                <w:sz w:val="28"/>
                <w:szCs w:val="28"/>
              </w:rPr>
              <w:t>ради</w:t>
            </w:r>
            <w:proofErr w:type="gramEnd"/>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Реєстрація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місця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проживання</w:t>
            </w:r>
            <w:proofErr w:type="spellEnd"/>
            <w:r>
              <w:rPr>
                <w:rFonts w:ascii="Times New Roman" w:eastAsia="Times New Roman" w:hAnsi="Times New Roman" w:cs="Times New Roman"/>
                <w:sz w:val="28"/>
                <w:szCs w:val="28"/>
              </w:rPr>
              <w:t xml:space="preserve"> особи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Default="00104955">
            <w:pPr>
              <w:ind w:left="42"/>
              <w:contextualSpacing w:val="0"/>
              <w:jc w:val="center"/>
            </w:pPr>
            <w:r>
              <w:rPr>
                <w:rFonts w:ascii="Times New Roman" w:eastAsia="Times New Roman" w:hAnsi="Times New Roman" w:cs="Times New Roman"/>
                <w:sz w:val="28"/>
                <w:szCs w:val="28"/>
                <w:lang w:val="uk-UA"/>
              </w:rPr>
              <w:t>70</w:t>
            </w:r>
            <w:r w:rsidR="003037D5">
              <w:rPr>
                <w:rFonts w:ascii="Times New Roman" w:eastAsia="Times New Roman" w:hAnsi="Times New Roman" w:cs="Times New Roman"/>
                <w:sz w:val="14"/>
                <w:szCs w:val="14"/>
              </w:rPr>
              <w:t xml:space="preserve">        </w:t>
            </w:r>
            <w:r w:rsidR="003037D5">
              <w:rPr>
                <w:rFonts w:ascii="Times New Roman" w:eastAsia="Times New Roman" w:hAnsi="Times New Roman" w:cs="Times New Roman"/>
                <w:sz w:val="28"/>
                <w:szCs w:val="28"/>
              </w:rPr>
              <w:t xml:space="preserve"> </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Зняття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реєстрації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місця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проживання</w:t>
            </w:r>
            <w:proofErr w:type="spellEnd"/>
            <w:r>
              <w:rPr>
                <w:rFonts w:ascii="Times New Roman" w:eastAsia="Times New Roman" w:hAnsi="Times New Roman" w:cs="Times New Roman"/>
                <w:sz w:val="28"/>
                <w:szCs w:val="28"/>
              </w:rPr>
              <w:t xml:space="preserve"> особи</w:t>
            </w:r>
          </w:p>
        </w:tc>
      </w:tr>
      <w:tr w:rsidR="00B47B29">
        <w:tc>
          <w:tcPr>
            <w:tcW w:w="61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B47B29" w:rsidRPr="008527DC" w:rsidRDefault="00104955">
            <w:pPr>
              <w:ind w:left="42"/>
              <w:contextualSpacing w:val="0"/>
              <w:jc w:val="center"/>
              <w:rPr>
                <w:lang w:val="uk-UA"/>
              </w:rPr>
            </w:pPr>
            <w:r>
              <w:rPr>
                <w:rFonts w:ascii="Times New Roman" w:eastAsia="Times New Roman" w:hAnsi="Times New Roman" w:cs="Times New Roman"/>
                <w:sz w:val="28"/>
                <w:szCs w:val="28"/>
                <w:lang w:val="uk-UA"/>
              </w:rPr>
              <w:t>71</w:t>
            </w:r>
          </w:p>
        </w:tc>
        <w:tc>
          <w:tcPr>
            <w:tcW w:w="3600" w:type="dxa"/>
            <w:vMerge/>
            <w:tcBorders>
              <w:bottom w:val="single" w:sz="8" w:space="0" w:color="000000"/>
              <w:right w:val="single" w:sz="8" w:space="0" w:color="000000"/>
            </w:tcBorders>
            <w:tcMar>
              <w:top w:w="100" w:type="dxa"/>
              <w:left w:w="100" w:type="dxa"/>
              <w:bottom w:w="100" w:type="dxa"/>
              <w:right w:w="100" w:type="dxa"/>
            </w:tcMar>
          </w:tcPr>
          <w:p w:rsidR="00B47B29" w:rsidRDefault="00B47B29">
            <w:pPr>
              <w:contextualSpacing w:val="0"/>
              <w:jc w:val="both"/>
            </w:pPr>
          </w:p>
        </w:tc>
        <w:tc>
          <w:tcPr>
            <w:tcW w:w="5295" w:type="dxa"/>
            <w:tcBorders>
              <w:bottom w:val="single" w:sz="8" w:space="0" w:color="000000"/>
              <w:right w:val="single" w:sz="8" w:space="0" w:color="000000"/>
            </w:tcBorders>
            <w:tcMar>
              <w:top w:w="100" w:type="dxa"/>
              <w:left w:w="100" w:type="dxa"/>
              <w:bottom w:w="100" w:type="dxa"/>
              <w:right w:w="100" w:type="dxa"/>
            </w:tcMar>
          </w:tcPr>
          <w:p w:rsidR="00B47B29" w:rsidRDefault="003037D5">
            <w:pPr>
              <w:spacing w:line="240" w:lineRule="auto"/>
              <w:contextualSpacing w:val="0"/>
              <w:jc w:val="both"/>
            </w:pPr>
            <w:proofErr w:type="spellStart"/>
            <w:r>
              <w:rPr>
                <w:rFonts w:ascii="Times New Roman" w:eastAsia="Times New Roman" w:hAnsi="Times New Roman" w:cs="Times New Roman"/>
                <w:sz w:val="28"/>
                <w:szCs w:val="28"/>
              </w:rPr>
              <w:t>Реєстрація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місця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перебування</w:t>
            </w:r>
            <w:proofErr w:type="spellEnd"/>
            <w:r>
              <w:rPr>
                <w:rFonts w:ascii="Times New Roman" w:eastAsia="Times New Roman" w:hAnsi="Times New Roman" w:cs="Times New Roman"/>
                <w:sz w:val="28"/>
                <w:szCs w:val="28"/>
              </w:rPr>
              <w:t xml:space="preserve"> особи</w:t>
            </w:r>
          </w:p>
        </w:tc>
      </w:tr>
    </w:tbl>
    <w:p w:rsidR="003037D5" w:rsidRDefault="003037D5">
      <w:pPr>
        <w:ind w:left="4960"/>
        <w:jc w:val="both"/>
      </w:pPr>
    </w:p>
    <w:p w:rsidR="003037D5" w:rsidRDefault="003037D5">
      <w:pPr>
        <w:ind w:left="4960"/>
        <w:jc w:val="both"/>
      </w:pPr>
    </w:p>
    <w:p w:rsidR="00B47B29" w:rsidRDefault="00B47B29">
      <w:pPr>
        <w:jc w:val="both"/>
      </w:pPr>
    </w:p>
    <w:p w:rsidR="00B47B29" w:rsidRDefault="003037D5">
      <w:pPr>
        <w:jc w:val="both"/>
      </w:pPr>
      <w:r>
        <w:rPr>
          <w:rFonts w:ascii="Times New Roman" w:eastAsia="Times New Roman" w:hAnsi="Times New Roman" w:cs="Times New Roman"/>
          <w:sz w:val="24"/>
          <w:szCs w:val="24"/>
        </w:rPr>
        <w:t xml:space="preserve"> </w:t>
      </w:r>
    </w:p>
    <w:p w:rsidR="00B47B29" w:rsidRDefault="003037D5">
      <w:pPr>
        <w:jc w:val="both"/>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Секретар</w:t>
      </w:r>
      <w:proofErr w:type="spellEnd"/>
      <w:r>
        <w:rPr>
          <w:rFonts w:ascii="Times New Roman" w:eastAsia="Times New Roman" w:hAnsi="Times New Roman" w:cs="Times New Roman"/>
          <w:sz w:val="28"/>
          <w:szCs w:val="28"/>
        </w:rPr>
        <w:t xml:space="preserve"> ради                                            </w:t>
      </w:r>
      <w:r>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О.Ю. </w:t>
      </w:r>
      <w:proofErr w:type="spellStart"/>
      <w:r>
        <w:rPr>
          <w:rFonts w:ascii="Times New Roman" w:eastAsia="Times New Roman" w:hAnsi="Times New Roman" w:cs="Times New Roman"/>
          <w:sz w:val="28"/>
          <w:szCs w:val="28"/>
        </w:rPr>
        <w:t>Потапський</w:t>
      </w:r>
      <w:proofErr w:type="spellEnd"/>
    </w:p>
    <w:p w:rsidR="00B47B29" w:rsidRDefault="003037D5">
      <w:pPr>
        <w:jc w:val="both"/>
      </w:pPr>
      <w:r>
        <w:rPr>
          <w:rFonts w:ascii="Times New Roman" w:eastAsia="Times New Roman" w:hAnsi="Times New Roman" w:cs="Times New Roman"/>
        </w:rPr>
        <w:t xml:space="preserve"> </w:t>
      </w:r>
    </w:p>
    <w:p w:rsidR="00B47B29" w:rsidRDefault="00B47B29">
      <w:pPr>
        <w:jc w:val="both"/>
      </w:pPr>
    </w:p>
    <w:p w:rsidR="00B47B29" w:rsidRDefault="00B47B29">
      <w:pPr>
        <w:jc w:val="both"/>
      </w:pPr>
    </w:p>
    <w:sectPr w:rsidR="00B47B29" w:rsidSect="00EF56F3">
      <w:pgSz w:w="11909" w:h="16834"/>
      <w:pgMar w:top="851" w:right="851" w:bottom="567" w:left="1701"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47B29"/>
    <w:rsid w:val="000966FB"/>
    <w:rsid w:val="00104955"/>
    <w:rsid w:val="003037D5"/>
    <w:rsid w:val="005304AA"/>
    <w:rsid w:val="008527DC"/>
    <w:rsid w:val="00920093"/>
    <w:rsid w:val="009D0DA6"/>
    <w:rsid w:val="00B47B29"/>
    <w:rsid w:val="00BE129D"/>
    <w:rsid w:val="00EF56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56F3"/>
  </w:style>
  <w:style w:type="paragraph" w:styleId="1">
    <w:name w:val="heading 1"/>
    <w:basedOn w:val="a"/>
    <w:next w:val="a"/>
    <w:rsid w:val="00EF56F3"/>
    <w:pPr>
      <w:keepNext/>
      <w:keepLines/>
      <w:spacing w:before="400" w:after="120"/>
      <w:outlineLvl w:val="0"/>
    </w:pPr>
    <w:rPr>
      <w:sz w:val="40"/>
      <w:szCs w:val="40"/>
    </w:rPr>
  </w:style>
  <w:style w:type="paragraph" w:styleId="2">
    <w:name w:val="heading 2"/>
    <w:basedOn w:val="a"/>
    <w:next w:val="a"/>
    <w:rsid w:val="00EF56F3"/>
    <w:pPr>
      <w:keepNext/>
      <w:keepLines/>
      <w:spacing w:before="360" w:after="120"/>
      <w:outlineLvl w:val="1"/>
    </w:pPr>
    <w:rPr>
      <w:sz w:val="32"/>
      <w:szCs w:val="32"/>
    </w:rPr>
  </w:style>
  <w:style w:type="paragraph" w:styleId="3">
    <w:name w:val="heading 3"/>
    <w:basedOn w:val="a"/>
    <w:next w:val="a"/>
    <w:rsid w:val="00EF56F3"/>
    <w:pPr>
      <w:keepNext/>
      <w:keepLines/>
      <w:spacing w:before="320" w:after="80"/>
      <w:outlineLvl w:val="2"/>
    </w:pPr>
    <w:rPr>
      <w:color w:val="434343"/>
      <w:sz w:val="28"/>
      <w:szCs w:val="28"/>
    </w:rPr>
  </w:style>
  <w:style w:type="paragraph" w:styleId="4">
    <w:name w:val="heading 4"/>
    <w:basedOn w:val="a"/>
    <w:next w:val="a"/>
    <w:rsid w:val="00EF56F3"/>
    <w:pPr>
      <w:keepNext/>
      <w:keepLines/>
      <w:spacing w:before="280" w:after="80"/>
      <w:outlineLvl w:val="3"/>
    </w:pPr>
    <w:rPr>
      <w:color w:val="666666"/>
      <w:sz w:val="24"/>
      <w:szCs w:val="24"/>
    </w:rPr>
  </w:style>
  <w:style w:type="paragraph" w:styleId="5">
    <w:name w:val="heading 5"/>
    <w:basedOn w:val="a"/>
    <w:next w:val="a"/>
    <w:rsid w:val="00EF56F3"/>
    <w:pPr>
      <w:keepNext/>
      <w:keepLines/>
      <w:spacing w:before="240" w:after="80"/>
      <w:outlineLvl w:val="4"/>
    </w:pPr>
    <w:rPr>
      <w:color w:val="666666"/>
    </w:rPr>
  </w:style>
  <w:style w:type="paragraph" w:styleId="6">
    <w:name w:val="heading 6"/>
    <w:basedOn w:val="a"/>
    <w:next w:val="a"/>
    <w:rsid w:val="00EF56F3"/>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F56F3"/>
    <w:tblPr>
      <w:tblCellMar>
        <w:top w:w="0" w:type="dxa"/>
        <w:left w:w="0" w:type="dxa"/>
        <w:bottom w:w="0" w:type="dxa"/>
        <w:right w:w="0" w:type="dxa"/>
      </w:tblCellMar>
    </w:tblPr>
  </w:style>
  <w:style w:type="paragraph" w:styleId="a3">
    <w:name w:val="Title"/>
    <w:basedOn w:val="a"/>
    <w:next w:val="a"/>
    <w:rsid w:val="00EF56F3"/>
    <w:pPr>
      <w:keepNext/>
      <w:keepLines/>
      <w:spacing w:after="60"/>
    </w:pPr>
    <w:rPr>
      <w:sz w:val="52"/>
      <w:szCs w:val="52"/>
    </w:rPr>
  </w:style>
  <w:style w:type="paragraph" w:styleId="a4">
    <w:name w:val="Subtitle"/>
    <w:basedOn w:val="a"/>
    <w:next w:val="a"/>
    <w:rsid w:val="00EF56F3"/>
    <w:pPr>
      <w:keepNext/>
      <w:keepLines/>
      <w:spacing w:after="320"/>
    </w:pPr>
    <w:rPr>
      <w:color w:val="666666"/>
      <w:sz w:val="30"/>
      <w:szCs w:val="30"/>
    </w:rPr>
  </w:style>
  <w:style w:type="table" w:customStyle="1" w:styleId="a5">
    <w:basedOn w:val="TableNormal"/>
    <w:rsid w:val="00EF56F3"/>
    <w:pPr>
      <w:contextualSpacing/>
    </w:pPr>
    <w:tblPr>
      <w:tblStyleRowBandSize w:val="1"/>
      <w:tblStyleColBandSize w:val="1"/>
      <w:tblCellMar>
        <w:top w:w="0" w:type="dxa"/>
        <w:left w:w="115" w:type="dxa"/>
        <w:bottom w:w="0" w:type="dxa"/>
        <w:right w:w="115" w:type="dxa"/>
      </w:tblCellMar>
    </w:tblPr>
  </w:style>
  <w:style w:type="paragraph" w:styleId="a6">
    <w:name w:val="Balloon Text"/>
    <w:basedOn w:val="a"/>
    <w:link w:val="a7"/>
    <w:uiPriority w:val="99"/>
    <w:semiHidden/>
    <w:unhideWhenUsed/>
    <w:rsid w:val="008527DC"/>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27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contextualSpacing/>
    </w:pPr>
    <w:tblPr>
      <w:tblStyleRowBandSize w:val="1"/>
      <w:tblStyleColBandSize w:val="1"/>
      <w:tblCellMar>
        <w:top w:w="0" w:type="dxa"/>
        <w:left w:w="115" w:type="dxa"/>
        <w:bottom w:w="0" w:type="dxa"/>
        <w:right w:w="115" w:type="dxa"/>
      </w:tblCellMar>
    </w:tblPr>
  </w:style>
  <w:style w:type="paragraph" w:styleId="a6">
    <w:name w:val="Balloon Text"/>
    <w:basedOn w:val="a"/>
    <w:link w:val="a7"/>
    <w:uiPriority w:val="99"/>
    <w:semiHidden/>
    <w:unhideWhenUsed/>
    <w:rsid w:val="008527DC"/>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27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1357</Words>
  <Characters>7739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Media3</cp:lastModifiedBy>
  <cp:revision>6</cp:revision>
  <cp:lastPrinted>2017-07-26T14:58:00Z</cp:lastPrinted>
  <dcterms:created xsi:type="dcterms:W3CDTF">2017-07-10T09:18:00Z</dcterms:created>
  <dcterms:modified xsi:type="dcterms:W3CDTF">2017-08-01T14:40:00Z</dcterms:modified>
</cp:coreProperties>
</file>