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5139" w:rsidRDefault="00475139" w:rsidP="00955D7A">
      <w:pPr>
        <w:rPr>
          <w:lang w:val="uk-UA"/>
        </w:rPr>
      </w:pPr>
    </w:p>
    <w:p w:rsidR="00475139" w:rsidRDefault="00475139" w:rsidP="00D327F4">
      <w:pPr>
        <w:ind w:left="5103"/>
        <w:rPr>
          <w:lang w:val="uk-UA"/>
        </w:rPr>
      </w:pPr>
    </w:p>
    <w:p w:rsidR="00475139" w:rsidRDefault="00475139" w:rsidP="00D327F4">
      <w:pPr>
        <w:ind w:left="5103"/>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475139">
        <w:rPr>
          <w:lang w:val="uk-UA"/>
        </w:rPr>
        <w:t>10.04</w:t>
      </w:r>
      <w:r w:rsidR="00DD427D">
        <w:rPr>
          <w:lang w:val="uk-UA"/>
        </w:rPr>
        <w:t>.2019</w:t>
      </w:r>
      <w:r w:rsidR="00475139">
        <w:rPr>
          <w:lang w:val="uk-UA"/>
        </w:rPr>
        <w:t xml:space="preserve"> № 21</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bookmarkStart w:id="0" w:name="_GoBack"/>
      <w:r w:rsidR="00475139">
        <w:rPr>
          <w:b/>
          <w:kern w:val="0"/>
          <w:lang w:val="uk-UA" w:eastAsia="uk-UA"/>
        </w:rPr>
        <w:t>головного спеціаліста</w:t>
      </w:r>
      <w:r w:rsidR="00DD427D">
        <w:rPr>
          <w:b/>
          <w:kern w:val="0"/>
          <w:lang w:val="uk-UA" w:eastAsia="uk-UA"/>
        </w:rPr>
        <w:t xml:space="preserve"> </w:t>
      </w:r>
      <w:r w:rsidR="00475139">
        <w:rPr>
          <w:b/>
          <w:kern w:val="0"/>
          <w:lang w:val="uk-UA" w:eastAsia="uk-UA"/>
        </w:rPr>
        <w:t>відділу з питань державного майна управління державного майна та закупівель</w:t>
      </w:r>
      <w:r w:rsidR="00102F1C">
        <w:rPr>
          <w:b/>
          <w:kern w:val="0"/>
          <w:lang w:val="uk-UA" w:eastAsia="uk-UA"/>
        </w:rPr>
        <w:t xml:space="preserve"> </w:t>
      </w:r>
      <w:bookmarkEnd w:id="0"/>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475139"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3C3574" w:rsidRPr="00475139" w:rsidRDefault="00475139" w:rsidP="00475139">
            <w:pPr>
              <w:autoSpaceDE w:val="0"/>
              <w:autoSpaceDN w:val="0"/>
              <w:adjustRightInd w:val="0"/>
              <w:jc w:val="both"/>
              <w:rPr>
                <w:lang w:val="uk-UA"/>
              </w:rPr>
            </w:pPr>
            <w:r>
              <w:rPr>
                <w:lang w:val="uk-UA"/>
              </w:rPr>
              <w:t>1) р</w:t>
            </w:r>
            <w:r w:rsidRPr="00475139">
              <w:rPr>
                <w:lang w:val="uk-UA"/>
              </w:rPr>
              <w:t>озробляє пропозиції щодо ефективного управління майном д</w:t>
            </w:r>
            <w:r>
              <w:rPr>
                <w:lang w:val="uk-UA"/>
              </w:rPr>
              <w:t>ержавної власності;</w:t>
            </w:r>
          </w:p>
          <w:p w:rsidR="003C3574" w:rsidRPr="00102F1C" w:rsidRDefault="00B20E16" w:rsidP="00102F1C">
            <w:pPr>
              <w:autoSpaceDE w:val="0"/>
              <w:autoSpaceDN w:val="0"/>
              <w:adjustRightInd w:val="0"/>
              <w:ind w:left="57"/>
              <w:jc w:val="both"/>
              <w:rPr>
                <w:lang w:val="uk-UA"/>
              </w:rPr>
            </w:pPr>
            <w:r>
              <w:rPr>
                <w:lang w:val="uk-UA"/>
              </w:rPr>
              <w:t>2</w:t>
            </w:r>
            <w:r w:rsidR="003C3574">
              <w:rPr>
                <w:lang w:val="uk-UA"/>
              </w:rPr>
              <w:t xml:space="preserve">) </w:t>
            </w:r>
            <w:r w:rsidR="00475139">
              <w:rPr>
                <w:lang w:val="uk-UA"/>
              </w:rPr>
              <w:t>у межах компетенції готує проведення обласних комісій щодо списання, інвентаризації, упорядкування державного майна</w:t>
            </w:r>
            <w:r w:rsidR="003C3574">
              <w:rPr>
                <w:lang w:val="uk-UA"/>
              </w:rPr>
              <w:t>;</w:t>
            </w:r>
          </w:p>
          <w:p w:rsidR="00102F1C" w:rsidRPr="00102F1C" w:rsidRDefault="00102F1C" w:rsidP="00102F1C">
            <w:pPr>
              <w:autoSpaceDE w:val="0"/>
              <w:autoSpaceDN w:val="0"/>
              <w:adjustRightInd w:val="0"/>
              <w:ind w:left="57"/>
              <w:jc w:val="both"/>
              <w:rPr>
                <w:lang w:val="uk-UA"/>
              </w:rPr>
            </w:pPr>
            <w:r w:rsidRPr="00102F1C">
              <w:rPr>
                <w:lang w:val="uk-UA"/>
              </w:rPr>
              <w:t xml:space="preserve">3) </w:t>
            </w:r>
            <w:r w:rsidR="00475139">
              <w:rPr>
                <w:lang w:val="uk-UA"/>
              </w:rPr>
              <w:t>організовує та забезпечує контроль та аналіз стану управління комунальною власністю територіальних громад, сіл, селищ та міст області, повноваження яких передано обласній державній адміністрації</w:t>
            </w:r>
            <w:r w:rsidRPr="00102F1C">
              <w:rPr>
                <w:lang w:val="uk-UA"/>
              </w:rPr>
              <w:t xml:space="preserve">; </w:t>
            </w:r>
          </w:p>
          <w:p w:rsidR="00102F1C" w:rsidRPr="00102F1C" w:rsidRDefault="00102F1C" w:rsidP="00102F1C">
            <w:pPr>
              <w:autoSpaceDE w:val="0"/>
              <w:autoSpaceDN w:val="0"/>
              <w:adjustRightInd w:val="0"/>
              <w:ind w:left="57"/>
              <w:jc w:val="both"/>
              <w:rPr>
                <w:lang w:val="uk-UA"/>
              </w:rPr>
            </w:pPr>
            <w:r w:rsidRPr="00102F1C">
              <w:rPr>
                <w:lang w:val="uk-UA"/>
              </w:rPr>
              <w:t xml:space="preserve">4) </w:t>
            </w:r>
            <w:r w:rsidR="00475139">
              <w:rPr>
                <w:lang w:val="uk-UA"/>
              </w:rPr>
              <w:t>готує аналітичну інформацію щодо використання майна об’єктами спільної власності територіальних громад, сіл, селищ та міст області, повноваження з управління якими передані обласній державній адміністрації</w:t>
            </w:r>
            <w:r w:rsidRPr="00102F1C">
              <w:rPr>
                <w:lang w:val="uk-UA"/>
              </w:rPr>
              <w:t>;</w:t>
            </w:r>
          </w:p>
          <w:p w:rsidR="00102F1C" w:rsidRPr="00102F1C" w:rsidRDefault="00102F1C" w:rsidP="00102F1C">
            <w:pPr>
              <w:autoSpaceDE w:val="0"/>
              <w:autoSpaceDN w:val="0"/>
              <w:adjustRightInd w:val="0"/>
              <w:ind w:left="57"/>
              <w:jc w:val="both"/>
              <w:rPr>
                <w:lang w:val="uk-UA"/>
              </w:rPr>
            </w:pPr>
            <w:r w:rsidRPr="00102F1C">
              <w:rPr>
                <w:lang w:val="uk-UA"/>
              </w:rPr>
              <w:t xml:space="preserve">5) </w:t>
            </w:r>
            <w:r w:rsidR="00475139">
              <w:rPr>
                <w:lang w:val="uk-UA"/>
              </w:rPr>
              <w:t>готує узагальнені матеріали та пропозиції Фонду державного майна України щодо упорядкування обліку об’єктів, які входять до Єдиного державного реєстру підприємств та організацій, та інвентаризації об’єктів державної власності</w:t>
            </w:r>
            <w:r w:rsidRPr="00102F1C">
              <w:rPr>
                <w:lang w:val="uk-UA"/>
              </w:rPr>
              <w:t>;</w:t>
            </w:r>
          </w:p>
          <w:p w:rsidR="003C3574" w:rsidRDefault="00102F1C" w:rsidP="003C3574">
            <w:pPr>
              <w:suppressAutoHyphens w:val="0"/>
              <w:autoSpaceDE w:val="0"/>
              <w:autoSpaceDN w:val="0"/>
              <w:adjustRightInd w:val="0"/>
              <w:spacing w:line="240" w:lineRule="auto"/>
              <w:ind w:left="57"/>
              <w:jc w:val="both"/>
              <w:rPr>
                <w:lang w:val="uk-UA"/>
              </w:rPr>
            </w:pPr>
            <w:r w:rsidRPr="00102F1C">
              <w:rPr>
                <w:lang w:val="uk-UA"/>
              </w:rPr>
              <w:t xml:space="preserve">6) </w:t>
            </w:r>
            <w:r w:rsidR="00475139">
              <w:rPr>
                <w:lang w:val="uk-UA"/>
              </w:rPr>
              <w:t>у межах компетенції готує пропозиції щодо підстав виділення коштів з резервного фонду бюджету, правильності поданих розрахунків та можливого обсягу виділення асигнувань з резервного фонду обласного бюджету</w:t>
            </w:r>
            <w:r w:rsidR="003C3574">
              <w:rPr>
                <w:lang w:val="uk-UA"/>
              </w:rPr>
              <w:t>;</w:t>
            </w:r>
          </w:p>
          <w:p w:rsidR="00475139" w:rsidRDefault="003C3574" w:rsidP="00475139">
            <w:pPr>
              <w:suppressAutoHyphens w:val="0"/>
              <w:autoSpaceDE w:val="0"/>
              <w:autoSpaceDN w:val="0"/>
              <w:adjustRightInd w:val="0"/>
              <w:spacing w:line="240" w:lineRule="auto"/>
              <w:ind w:left="57"/>
              <w:jc w:val="both"/>
              <w:rPr>
                <w:lang w:val="uk-UA"/>
              </w:rPr>
            </w:pPr>
            <w:r>
              <w:rPr>
                <w:lang w:val="uk-UA"/>
              </w:rPr>
              <w:t xml:space="preserve">7) </w:t>
            </w:r>
            <w:r w:rsidR="00475139">
              <w:rPr>
                <w:lang w:val="uk-UA"/>
              </w:rPr>
              <w:t>здійснює підготовку проектів розпоряджень голови обласної державної адміністрації з питань виділення коштів з резервного фонду обласного бюджету відповідно до наданих структурними підрозділами обласної державної адміністрації пропозицій відповідно до компетенції;</w:t>
            </w:r>
          </w:p>
          <w:p w:rsidR="00475139" w:rsidRDefault="00475139" w:rsidP="00475139">
            <w:pPr>
              <w:suppressAutoHyphens w:val="0"/>
              <w:autoSpaceDE w:val="0"/>
              <w:autoSpaceDN w:val="0"/>
              <w:adjustRightInd w:val="0"/>
              <w:spacing w:line="240" w:lineRule="auto"/>
              <w:ind w:left="57"/>
              <w:jc w:val="both"/>
              <w:rPr>
                <w:lang w:val="uk-UA"/>
              </w:rPr>
            </w:pPr>
            <w:r>
              <w:rPr>
                <w:lang w:val="uk-UA"/>
              </w:rPr>
              <w:t xml:space="preserve">8) бере участь у </w:t>
            </w:r>
            <w:r w:rsidR="00F15906">
              <w:rPr>
                <w:lang w:val="uk-UA"/>
              </w:rPr>
              <w:t>розробці</w:t>
            </w:r>
            <w:r>
              <w:rPr>
                <w:lang w:val="uk-UA"/>
              </w:rPr>
              <w:t xml:space="preserve"> нормативних та організаційно-методичних документів, що відносяться до компетенції відділу;</w:t>
            </w:r>
          </w:p>
          <w:p w:rsidR="00C4159B" w:rsidRPr="00F15906" w:rsidRDefault="00475139" w:rsidP="00F15906">
            <w:pPr>
              <w:suppressAutoHyphens w:val="0"/>
              <w:autoSpaceDE w:val="0"/>
              <w:autoSpaceDN w:val="0"/>
              <w:adjustRightInd w:val="0"/>
              <w:spacing w:line="240" w:lineRule="auto"/>
              <w:ind w:left="57"/>
              <w:jc w:val="both"/>
              <w:rPr>
                <w:lang w:val="uk-UA"/>
              </w:rPr>
            </w:pPr>
            <w:r>
              <w:rPr>
                <w:lang w:val="uk-UA"/>
              </w:rPr>
              <w:t xml:space="preserve">9) </w:t>
            </w:r>
            <w:r w:rsidR="00F15906">
              <w:rPr>
                <w:lang w:val="uk-UA"/>
              </w:rPr>
              <w:t>бере участь у розробці поточних та перспективних планів роботи відділу</w:t>
            </w:r>
            <w:r w:rsidR="00102F1C" w:rsidRPr="00102F1C">
              <w:rPr>
                <w:lang w:val="uk-UA"/>
              </w:rPr>
              <w:t>.</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F15906">
              <w:rPr>
                <w:lang w:val="uk-UA"/>
              </w:rPr>
              <w:t>5110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 xml:space="preserve">2) надбавка за вислугу років на державній службі на рівні 3 відсотків посадового окладу державного </w:t>
            </w:r>
            <w:r w:rsidRPr="00614E5F">
              <w:rPr>
                <w:lang w:val="uk-UA"/>
              </w:rPr>
              <w:lastRenderedPageBreak/>
              <w:t>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6E423C">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6E423C">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4F7746">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D1EC4">
              <w:rPr>
                <w:kern w:val="0"/>
                <w:lang w:val="uk-UA" w:eastAsia="uk-UA"/>
              </w:rPr>
              <w:t xml:space="preserve">до 18 год. 00 хв.  </w:t>
            </w:r>
            <w:r w:rsidR="002C7502">
              <w:rPr>
                <w:kern w:val="0"/>
                <w:lang w:val="uk-UA" w:eastAsia="uk-UA"/>
              </w:rPr>
              <w:t xml:space="preserve">                </w:t>
            </w:r>
            <w:r w:rsidR="004F7746">
              <w:rPr>
                <w:kern w:val="0"/>
                <w:lang w:val="uk-UA" w:eastAsia="uk-UA"/>
              </w:rPr>
              <w:t>07 травня</w:t>
            </w:r>
            <w:r w:rsidR="003C3574">
              <w:rPr>
                <w:kern w:val="0"/>
                <w:lang w:val="uk-UA" w:eastAsia="uk-UA"/>
              </w:rPr>
              <w:t xml:space="preserve"> 2019</w:t>
            </w:r>
            <w:r w:rsidR="00DD1EC4">
              <w:rPr>
                <w:kern w:val="0"/>
                <w:lang w:val="uk-UA" w:eastAsia="uk-UA"/>
              </w:rPr>
              <w:t xml:space="preserve">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w:t>
            </w:r>
            <w:proofErr w:type="spellStart"/>
            <w:r w:rsidR="00DD1EC4">
              <w:rPr>
                <w:kern w:val="0"/>
                <w:lang w:val="uk-UA" w:eastAsia="uk-UA"/>
              </w:rPr>
              <w:t>каб</w:t>
            </w:r>
            <w:proofErr w:type="spellEnd"/>
            <w:r w:rsidR="00DD1EC4">
              <w:rPr>
                <w:kern w:val="0"/>
                <w:lang w:val="uk-UA" w:eastAsia="uk-UA"/>
              </w:rPr>
              <w:t>. 565.</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E7142C" w:rsidRPr="00614E5F" w:rsidRDefault="00E7142C" w:rsidP="00F15906">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4F7746">
              <w:rPr>
                <w:kern w:val="0"/>
                <w:lang w:val="uk-UA" w:eastAsia="uk-UA"/>
              </w:rPr>
              <w:t>15</w:t>
            </w:r>
            <w:r w:rsidR="00F15906">
              <w:rPr>
                <w:kern w:val="0"/>
                <w:lang w:val="uk-UA" w:eastAsia="uk-UA"/>
              </w:rPr>
              <w:t xml:space="preserve"> травня </w:t>
            </w:r>
            <w:r w:rsidR="0062762A">
              <w:rPr>
                <w:kern w:val="0"/>
                <w:lang w:val="uk-UA" w:eastAsia="uk-UA"/>
              </w:rPr>
              <w:t xml:space="preserve"> 2019</w:t>
            </w:r>
            <w:r>
              <w:rPr>
                <w:kern w:val="0"/>
                <w:lang w:val="uk-UA" w:eastAsia="uk-UA"/>
              </w:rPr>
              <w:t xml:space="preserve"> </w:t>
            </w:r>
            <w:r w:rsidR="0064217E">
              <w:rPr>
                <w:kern w:val="0"/>
                <w:lang w:val="uk-UA" w:eastAsia="uk-UA"/>
              </w:rPr>
              <w:t xml:space="preserve"> року о 10</w:t>
            </w:r>
            <w:r w:rsidRPr="00614E5F">
              <w:rPr>
                <w:kern w:val="0"/>
                <w:lang w:val="uk-UA" w:eastAsia="uk-UA"/>
              </w:rPr>
              <w:t>.00 за адресою: м. Одеса</w:t>
            </w:r>
            <w:r w:rsidR="0064217E">
              <w:rPr>
                <w:kern w:val="0"/>
                <w:lang w:val="uk-UA" w:eastAsia="uk-UA"/>
              </w:rPr>
              <w:t xml:space="preserve">, проспект Шевченка, 4, </w:t>
            </w:r>
            <w:proofErr w:type="spellStart"/>
            <w:r w:rsidR="0064217E">
              <w:rPr>
                <w:kern w:val="0"/>
                <w:lang w:val="uk-UA" w:eastAsia="uk-UA"/>
              </w:rPr>
              <w:t>каб</w:t>
            </w:r>
            <w:proofErr w:type="spellEnd"/>
            <w:r w:rsidR="0064217E">
              <w:rPr>
                <w:kern w:val="0"/>
                <w:lang w:val="uk-UA" w:eastAsia="uk-UA"/>
              </w:rPr>
              <w:t>. 544</w:t>
            </w:r>
            <w:r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E7142C" w:rsidP="006E423C">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6E423C">
            <w:pPr>
              <w:suppressAutoHyphens w:val="0"/>
              <w:spacing w:line="240" w:lineRule="auto"/>
              <w:ind w:left="57"/>
              <w:rPr>
                <w:kern w:val="0"/>
                <w:lang w:val="uk-UA" w:eastAsia="uk-UA"/>
              </w:rPr>
            </w:pPr>
            <w:proofErr w:type="spellStart"/>
            <w:r>
              <w:rPr>
                <w:kern w:val="0"/>
                <w:lang w:val="en-US" w:eastAsia="uk-UA"/>
              </w:rPr>
              <w:t>astrielnikova</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F15906">
            <w:pPr>
              <w:suppressAutoHyphens w:val="0"/>
              <w:spacing w:before="100" w:beforeAutospacing="1" w:line="240" w:lineRule="auto"/>
              <w:ind w:left="61"/>
              <w:rPr>
                <w:kern w:val="0"/>
                <w:lang w:val="uk-UA" w:eastAsia="uk-UA"/>
              </w:rPr>
            </w:pPr>
            <w:proofErr w:type="spellStart"/>
            <w:r w:rsidRPr="005E4A76">
              <w:t>Вища</w:t>
            </w:r>
            <w:proofErr w:type="spellEnd"/>
            <w:r w:rsidRPr="005E4A76">
              <w:t xml:space="preserve"> </w:t>
            </w:r>
            <w:proofErr w:type="spellStart"/>
            <w:r w:rsidRPr="005E4A76">
              <w:t>освіта</w:t>
            </w:r>
            <w:proofErr w:type="spellEnd"/>
            <w:r w:rsidRPr="005E4A76">
              <w:t xml:space="preserve"> </w:t>
            </w:r>
            <w:r w:rsidR="0062762A">
              <w:rPr>
                <w:lang w:val="uk-UA"/>
              </w:rPr>
              <w:t xml:space="preserve">юридичного спрямування </w:t>
            </w:r>
            <w:r w:rsidRPr="005E4A76">
              <w:t xml:space="preserve">за </w:t>
            </w:r>
            <w:proofErr w:type="spellStart"/>
            <w:r w:rsidRPr="005E4A76">
              <w:t>ступенем</w:t>
            </w:r>
            <w:proofErr w:type="spellEnd"/>
            <w:r w:rsidRPr="005E4A76">
              <w:t xml:space="preserve"> </w:t>
            </w:r>
            <w:r w:rsidRPr="005E4A76">
              <w:lastRenderedPageBreak/>
              <w:t xml:space="preserve">не </w:t>
            </w:r>
            <w:proofErr w:type="spellStart"/>
            <w:r w:rsidRPr="005E4A76">
              <w:t>нижче</w:t>
            </w:r>
            <w:proofErr w:type="spellEnd"/>
            <w:r w:rsidRPr="005E4A76">
              <w:t xml:space="preserve"> </w:t>
            </w:r>
            <w:proofErr w:type="spellStart"/>
            <w:r w:rsidRPr="005E4A76">
              <w:t>молодшого</w:t>
            </w:r>
            <w:proofErr w:type="spellEnd"/>
            <w:r w:rsidRPr="005E4A76">
              <w:t xml:space="preserve"> бакалавра </w:t>
            </w:r>
            <w:proofErr w:type="spellStart"/>
            <w:r w:rsidRPr="005E4A76">
              <w:t>або</w:t>
            </w:r>
            <w:proofErr w:type="spellEnd"/>
            <w:r w:rsidRPr="005E4A76">
              <w:t xml:space="preserve"> бакалавра.</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lastRenderedPageBreak/>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8C37C6"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E423C">
            <w:pPr>
              <w:spacing w:line="240" w:lineRule="auto"/>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E423C">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E423C">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E423C">
            <w:pPr>
              <w:pStyle w:val="aa"/>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E423C">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E423C">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E423C">
            <w:pPr>
              <w:spacing w:line="240" w:lineRule="auto"/>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відповідальність;</w:t>
            </w:r>
          </w:p>
          <w:p w:rsidR="0064217E" w:rsidRPr="00BB37FF" w:rsidRDefault="0064217E" w:rsidP="006E423C">
            <w:pPr>
              <w:pStyle w:val="aa"/>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E423C">
            <w:pPr>
              <w:pStyle w:val="aa"/>
              <w:spacing w:before="0" w:beforeAutospacing="0" w:after="0" w:afterAutospacing="0"/>
              <w:ind w:left="57"/>
              <w:rPr>
                <w:lang w:val="uk-UA"/>
              </w:rPr>
            </w:pPr>
            <w:r w:rsidRPr="00BB37FF">
              <w:rPr>
                <w:lang w:val="uk-UA"/>
              </w:rPr>
              <w:t>3) уважність до деталей;</w:t>
            </w:r>
          </w:p>
          <w:p w:rsidR="0064217E" w:rsidRPr="00BB37FF" w:rsidRDefault="0064217E" w:rsidP="006E423C">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E423C">
            <w:pPr>
              <w:pStyle w:val="aa"/>
              <w:spacing w:before="0" w:beforeAutospacing="0" w:after="0" w:afterAutospacing="0"/>
              <w:ind w:left="57"/>
              <w:rPr>
                <w:lang w:val="uk-UA"/>
              </w:rPr>
            </w:pPr>
            <w:r w:rsidRPr="00BB37FF">
              <w:rPr>
                <w:lang w:val="uk-UA"/>
              </w:rPr>
              <w:t>5) ініціативність;</w:t>
            </w:r>
          </w:p>
          <w:p w:rsidR="00E7142C" w:rsidRPr="00614E5F" w:rsidRDefault="0064217E" w:rsidP="006E423C">
            <w:pPr>
              <w:pStyle w:val="aa"/>
              <w:spacing w:before="0" w:beforeAutospacing="0" w:after="0" w:afterAutospacing="0"/>
              <w:ind w:left="57"/>
              <w:rPr>
                <w:lang w:val="uk-UA"/>
              </w:rPr>
            </w:pPr>
            <w:r w:rsidRPr="00BB37FF">
              <w:rPr>
                <w:lang w:val="uk-UA"/>
              </w:rPr>
              <w:t>6) орієнтація на саморозвиток;</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E7142C" w:rsidRDefault="00F15906" w:rsidP="00F15906">
            <w:pPr>
              <w:pStyle w:val="af5"/>
              <w:numPr>
                <w:ilvl w:val="0"/>
                <w:numId w:val="25"/>
              </w:numPr>
              <w:spacing w:line="240" w:lineRule="auto"/>
              <w:jc w:val="both"/>
              <w:rPr>
                <w:lang w:val="uk-UA"/>
              </w:rPr>
            </w:pPr>
            <w:r w:rsidRPr="00F15906">
              <w:rPr>
                <w:lang w:val="uk-UA"/>
              </w:rPr>
              <w:t>Закону України «Про Фонд державного майна України»</w:t>
            </w:r>
            <w:r>
              <w:rPr>
                <w:lang w:val="uk-UA"/>
              </w:rPr>
              <w:t>;</w:t>
            </w:r>
          </w:p>
          <w:p w:rsidR="00F15906" w:rsidRDefault="00F15906" w:rsidP="006B2263">
            <w:pPr>
              <w:pStyle w:val="af5"/>
              <w:numPr>
                <w:ilvl w:val="0"/>
                <w:numId w:val="25"/>
              </w:numPr>
              <w:spacing w:line="240" w:lineRule="auto"/>
              <w:jc w:val="both"/>
              <w:rPr>
                <w:lang w:val="uk-UA"/>
              </w:rPr>
            </w:pPr>
            <w:r w:rsidRPr="00F15906">
              <w:rPr>
                <w:lang w:val="uk-UA"/>
              </w:rPr>
              <w:t xml:space="preserve">Закону України «Про </w:t>
            </w:r>
            <w:r w:rsidR="006B2263">
              <w:rPr>
                <w:lang w:val="uk-UA"/>
              </w:rPr>
              <w:t>управління об’єктами державної власності</w:t>
            </w:r>
            <w:r w:rsidRPr="00F15906">
              <w:rPr>
                <w:lang w:val="uk-UA"/>
              </w:rPr>
              <w:t>»;</w:t>
            </w:r>
          </w:p>
          <w:p w:rsidR="00212CF3" w:rsidRDefault="00212CF3" w:rsidP="006B2263">
            <w:pPr>
              <w:pStyle w:val="af5"/>
              <w:numPr>
                <w:ilvl w:val="0"/>
                <w:numId w:val="25"/>
              </w:numPr>
              <w:spacing w:line="240" w:lineRule="auto"/>
              <w:jc w:val="both"/>
              <w:rPr>
                <w:lang w:val="uk-UA"/>
              </w:rPr>
            </w:pPr>
            <w:r>
              <w:rPr>
                <w:lang w:val="uk-UA"/>
              </w:rPr>
              <w:t xml:space="preserve">- Закону України «Про передачу об’єктів права державної та комунальної власності»; </w:t>
            </w:r>
          </w:p>
          <w:p w:rsidR="006B2263" w:rsidRDefault="00212CF3" w:rsidP="006B2263">
            <w:pPr>
              <w:pStyle w:val="af5"/>
              <w:numPr>
                <w:ilvl w:val="0"/>
                <w:numId w:val="25"/>
              </w:numPr>
              <w:spacing w:line="240" w:lineRule="auto"/>
              <w:jc w:val="both"/>
              <w:rPr>
                <w:lang w:val="uk-UA"/>
              </w:rPr>
            </w:pPr>
            <w:r>
              <w:rPr>
                <w:lang w:val="uk-UA"/>
              </w:rPr>
              <w:t>Порядку списання об’єктів державного майна, затвердженого постановою Кабінету Міністрів України від 08 листопада 2007 року № 1314;</w:t>
            </w:r>
          </w:p>
          <w:p w:rsidR="00212CF3" w:rsidRPr="00212CF3" w:rsidRDefault="00212CF3" w:rsidP="00212CF3">
            <w:pPr>
              <w:pStyle w:val="af5"/>
              <w:numPr>
                <w:ilvl w:val="0"/>
                <w:numId w:val="25"/>
              </w:numPr>
              <w:spacing w:line="240" w:lineRule="auto"/>
              <w:jc w:val="both"/>
              <w:rPr>
                <w:lang w:val="uk-UA"/>
              </w:rPr>
            </w:pPr>
            <w:r>
              <w:rPr>
                <w:lang w:val="uk-UA"/>
              </w:rPr>
              <w:t>Порядку використання коштів резервного фонду бюджету, затвердженого постановою Кабінету Міністрів України від 29 березня 2002 року          № 415.</w:t>
            </w:r>
          </w:p>
        </w:tc>
      </w:tr>
    </w:tbl>
    <w:p w:rsidR="00E7142C" w:rsidRPr="00102F1C" w:rsidRDefault="00E7142C" w:rsidP="008C37C6">
      <w:pPr>
        <w:suppressAutoHyphens w:val="0"/>
        <w:spacing w:line="240" w:lineRule="auto"/>
        <w:rPr>
          <w:rFonts w:ascii="Calibri" w:hAnsi="Calibri"/>
          <w:kern w:val="0"/>
          <w:sz w:val="22"/>
          <w:szCs w:val="22"/>
          <w:lang w:val="uk-UA" w:eastAsia="ru-RU"/>
        </w:rPr>
      </w:pPr>
    </w:p>
    <w:sectPr w:rsidR="00E7142C" w:rsidRPr="00102F1C"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4F7746"/>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2762A"/>
    <w:rsid w:val="00630948"/>
    <w:rsid w:val="006376CB"/>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C37C6"/>
    <w:rsid w:val="008E2738"/>
    <w:rsid w:val="00903F11"/>
    <w:rsid w:val="009103B4"/>
    <w:rsid w:val="00915B29"/>
    <w:rsid w:val="00915F7D"/>
    <w:rsid w:val="00927BB7"/>
    <w:rsid w:val="00933FFA"/>
    <w:rsid w:val="00955D7A"/>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36B"/>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15906"/>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72E30-A343-44F0-9233-79076D2CC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995</Words>
  <Characters>5678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6660</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5</cp:revision>
  <cp:lastPrinted>2019-04-11T09:06:00Z</cp:lastPrinted>
  <dcterms:created xsi:type="dcterms:W3CDTF">2019-04-09T14:19:00Z</dcterms:created>
  <dcterms:modified xsi:type="dcterms:W3CDTF">2019-04-11T09:10:00Z</dcterms:modified>
</cp:coreProperties>
</file>